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rPr>
          <w:rFonts w:eastAsia="方正小标宋简体"/>
          <w:color w:val="000000"/>
          <w:sz w:val="44"/>
          <w:szCs w:val="44"/>
        </w:rPr>
      </w:pPr>
      <w:r>
        <w:rPr>
          <w:rFonts w:eastAsia="方正小标宋简体"/>
          <w:color w:val="000000"/>
          <w:sz w:val="44"/>
          <w:szCs w:val="44"/>
        </w:rPr>
      </w:r>
    </w:p>
    <w:p>
      <w:pPr>
        <w:pStyle w:val="Normal"/>
        <w:spacing w:lineRule="exact" w:line="640"/>
        <w:jc w:val="center"/>
        <w:rPr>
          <w:rFonts w:ascii="宋体;SimSun" w:hAnsi="宋体;SimSun" w:eastAsia="宋体;SimSun" w:cs="宋体;SimSun"/>
          <w:b/>
          <w:color w:val="000000"/>
          <w:sz w:val="44"/>
          <w:szCs w:val="44"/>
        </w:rPr>
      </w:pPr>
      <w:r>
        <w:rPr>
          <w:rFonts w:ascii="宋体;SimSun" w:hAnsi="宋体;SimSun" w:cs="宋体;SimSun" w:hint="eastAsia" w:eastAsia="宋体;SimSun"/>
          <w:b/>
          <w:color w:val="000000"/>
          <w:sz w:val="44"/>
          <w:szCs w:val="44"/>
        </w:rPr>
        <w:t>安徽省人民代表大会常务委员会</w:t>
      </w:r>
    </w:p>
    <w:p>
      <w:pPr>
        <w:pStyle w:val="Normal"/>
        <w:spacing w:lineRule="exact" w:line="640"/>
        <w:jc w:val="center"/>
        <w:rPr>
          <w:rFonts w:ascii="宋体;SimSun" w:hAnsi="宋体;SimSun" w:eastAsia="宋体;SimSun" w:cs="宋体;SimSun" w:hint="eastAsia"/>
          <w:b/>
          <w:color w:val="000000"/>
          <w:sz w:val="44"/>
          <w:szCs w:val="44"/>
        </w:rPr>
      </w:pPr>
      <w:r>
        <w:rPr>
          <w:rFonts w:ascii="宋体;SimSun" w:hAnsi="宋体;SimSun" w:cs="宋体;SimSun" w:hint="eastAsia" w:eastAsia="宋体;SimSun"/>
          <w:b/>
          <w:color w:val="000000"/>
          <w:sz w:val="44"/>
          <w:szCs w:val="44"/>
        </w:rPr>
        <w:t>关于批准《池州市燃放经营烟花爆竹管理条例》</w:t>
      </w:r>
    </w:p>
    <w:p>
      <w:pPr>
        <w:pStyle w:val="Normal"/>
        <w:spacing w:lineRule="exact" w:line="640"/>
        <w:jc w:val="center"/>
        <w:rPr>
          <w:rFonts w:ascii="宋体;SimSun" w:hAnsi="宋体;SimSun" w:eastAsia="宋体;SimSun" w:cs="宋体;SimSun" w:hint="eastAsia"/>
          <w:b/>
          <w:color w:val="000000"/>
          <w:sz w:val="44"/>
          <w:szCs w:val="44"/>
        </w:rPr>
      </w:pPr>
      <w:r>
        <w:rPr>
          <w:rFonts w:ascii="宋体;SimSun" w:hAnsi="宋体;SimSun" w:cs="宋体;SimSun" w:hint="eastAsia" w:eastAsia="宋体;SimSun"/>
          <w:b/>
          <w:color w:val="000000"/>
          <w:sz w:val="44"/>
          <w:szCs w:val="44"/>
        </w:rPr>
        <w:t>的决议</w:t>
      </w:r>
    </w:p>
    <w:p>
      <w:pPr>
        <w:pStyle w:val="Normal"/>
        <w:spacing w:lineRule="exact" w:line="680"/>
        <w:jc w:val="center"/>
        <w:rPr>
          <w:rFonts w:ascii="方正小标宋简体" w:hAnsi="方正小标宋简体" w:eastAsia="方正小标宋简体" w:cs="宋体;SimSun" w:hint="eastAsia"/>
          <w:b/>
          <w:color w:val="000000"/>
          <w:sz w:val="44"/>
          <w:szCs w:val="36"/>
        </w:rPr>
      </w:pPr>
      <w:r>
        <w:rPr>
          <w:rFonts w:eastAsia="方正小标宋简体" w:cs="宋体;SimSun" w:hint="eastAsia" w:ascii="方正小标宋简体" w:hAnsi="方正小标宋简体"/>
          <w:b/>
          <w:color w:val="000000"/>
          <w:sz w:val="44"/>
          <w:szCs w:val="36"/>
        </w:rPr>
      </w:r>
    </w:p>
    <w:p>
      <w:pPr>
        <w:pStyle w:val="Normal"/>
        <w:jc w:val="center"/>
        <w:rPr/>
      </w:pPr>
      <w:r>
        <w:rPr>
          <w:rFonts w:hint="eastAsia" w:eastAsia="楷体_GB2312"/>
          <w:color w:val="000000"/>
          <w:szCs w:val="30"/>
        </w:rPr>
        <w:t>（</w:t>
      </w:r>
      <w:r>
        <w:rPr>
          <w:rFonts w:eastAsia="楷体_GB2312"/>
          <w:color w:val="000000"/>
          <w:szCs w:val="30"/>
        </w:rPr>
        <w:t>2018</w:t>
      </w:r>
      <w:r>
        <w:rPr>
          <w:rFonts w:hint="eastAsia" w:eastAsia="楷体_GB2312"/>
          <w:color w:val="000000"/>
          <w:szCs w:val="30"/>
        </w:rPr>
        <w:t>年</w:t>
      </w:r>
      <w:r>
        <w:rPr>
          <w:rFonts w:eastAsia="楷体_GB2312"/>
          <w:color w:val="000000"/>
          <w:szCs w:val="30"/>
        </w:rPr>
        <w:t>9</w:t>
      </w:r>
      <w:r>
        <w:rPr>
          <w:rFonts w:hint="eastAsia" w:eastAsia="楷体_GB2312"/>
          <w:color w:val="000000"/>
          <w:szCs w:val="30"/>
        </w:rPr>
        <w:t>月</w:t>
      </w:r>
      <w:r>
        <w:rPr>
          <w:rFonts w:eastAsia="楷体_GB2312" w:hint="eastAsia"/>
          <w:color w:val="000000"/>
          <w:szCs w:val="30"/>
        </w:rPr>
        <w:t>29</w:t>
      </w:r>
      <w:r>
        <w:rPr>
          <w:rFonts w:hint="eastAsia" w:eastAsia="楷体_GB2312"/>
          <w:color w:val="000000"/>
          <w:szCs w:val="30"/>
        </w:rPr>
        <w:t>日安徽省第十三届人民代表大会</w:t>
      </w:r>
    </w:p>
    <w:p>
      <w:pPr>
        <w:pStyle w:val="Normal"/>
        <w:jc w:val="center"/>
        <w:rPr>
          <w:rFonts w:eastAsia="楷体_GB2312"/>
          <w:color w:val="000000"/>
          <w:szCs w:val="30"/>
        </w:rPr>
      </w:pPr>
      <w:r>
        <w:rPr>
          <w:rFonts w:hint="eastAsia" w:eastAsia="楷体_GB2312"/>
          <w:color w:val="000000"/>
          <w:szCs w:val="30"/>
        </w:rPr>
        <w:t>常务委员会第五次会议通过）</w:t>
      </w:r>
    </w:p>
    <w:p>
      <w:pPr>
        <w:pStyle w:val="Normal"/>
        <w:jc w:val="center"/>
        <w:rPr>
          <w:rFonts w:eastAsia="楷体_GB2312"/>
          <w:color w:val="000000"/>
          <w:szCs w:val="30"/>
        </w:rPr>
      </w:pPr>
      <w:r>
        <w:rPr>
          <w:rFonts w:eastAsia="楷体_GB2312"/>
          <w:color w:val="000000"/>
          <w:szCs w:val="30"/>
        </w:rPr>
      </w:r>
    </w:p>
    <w:p>
      <w:pPr>
        <w:pStyle w:val="Normal"/>
        <w:ind w:firstLineChars="200" w:startChars="0" w:start="0" w:endChars="0" w:end="0"/>
        <w:rPr>
          <w:color w:val="000000"/>
        </w:rPr>
      </w:pPr>
      <w:r>
        <w:rPr>
          <w:rFonts w:ascii="仿宋_GB2312" w:hAnsi="仿宋_GB2312" w:hint="eastAsia"/>
          <w:color w:val="000000"/>
        </w:rPr>
        <w:t>安徽省第十三届人民代表大会常务委员会第五次会议审查了《</w:t>
      </w:r>
      <w:r>
        <w:rPr>
          <w:rFonts w:hint="eastAsia"/>
          <w:color w:val="000000"/>
        </w:rPr>
        <w:t>池州市燃放经营烟花爆竹管理条例</w:t>
      </w:r>
      <w:r>
        <w:rPr>
          <w:rFonts w:ascii="仿宋_GB2312" w:hAnsi="仿宋_GB2312" w:hint="eastAsia"/>
          <w:color w:val="000000"/>
        </w:rPr>
        <w:t>》，决定予以批准，由</w:t>
      </w:r>
      <w:r>
        <w:rPr>
          <w:rFonts w:cs="宋体;SimSun" w:hint="eastAsia"/>
          <w:color w:val="000000"/>
          <w:kern w:val="0"/>
        </w:rPr>
        <w:t>池州</w:t>
      </w:r>
      <w:r>
        <w:rPr>
          <w:rFonts w:ascii="仿宋_GB2312" w:hAnsi="仿宋_GB2312" w:hint="eastAsia"/>
          <w:color w:val="000000"/>
        </w:rPr>
        <w:t>市人民代表大会常务委员会公布施行。</w:t>
      </w:r>
    </w:p>
    <w:p>
      <w:pPr>
        <w:pStyle w:val="Normal"/>
        <w:rPr>
          <w:color w:val="000000"/>
        </w:rPr>
      </w:pPr>
      <w:r>
        <w:rPr>
          <w:color w:val="000000"/>
        </w:rPr>
      </w:r>
      <w:r>
        <w:br w:type="page"/>
      </w:r>
    </w:p>
    <w:p>
      <w:pPr>
        <w:pStyle w:val="Normal"/>
        <w:spacing w:lineRule="exact" w:line="660"/>
        <w:jc w:val="center"/>
        <w:rPr>
          <w:rFonts w:eastAsia="方正小标宋简体" w:hint="eastAsia"/>
          <w:color w:val="000000"/>
          <w:sz w:val="44"/>
          <w:szCs w:val="44"/>
        </w:rPr>
      </w:pPr>
      <w:r>
        <w:rPr>
          <w:rFonts w:eastAsia="方正小标宋简体" w:hint="eastAsia"/>
          <w:color w:val="000000"/>
          <w:sz w:val="44"/>
          <w:szCs w:val="44"/>
        </w:rPr>
      </w:r>
    </w:p>
    <w:p>
      <w:pPr>
        <w:pStyle w:val="Normal"/>
        <w:spacing w:lineRule="exact" w:line="580"/>
        <w:jc w:val="center"/>
        <w:rPr>
          <w:rFonts w:ascii="宋体;SimSun" w:hAnsi="宋体;SimSun" w:eastAsia="宋体;SimSun" w:cs="宋体;SimSun" w:hint="eastAsia"/>
          <w:b/>
          <w:color w:val="000000"/>
          <w:sz w:val="44"/>
          <w:szCs w:val="44"/>
        </w:rPr>
      </w:pPr>
      <w:r>
        <w:rPr>
          <w:rFonts w:ascii="宋体;SimSun" w:hAnsi="宋体;SimSun" w:cs="宋体;SimSun" w:hint="eastAsia" w:eastAsia="宋体;SimSun"/>
          <w:b/>
          <w:color w:val="000000"/>
          <w:sz w:val="44"/>
          <w:szCs w:val="44"/>
        </w:rPr>
        <w:t>池州市燃放经营烟花爆竹管理条例</w:t>
      </w:r>
    </w:p>
    <w:p>
      <w:pPr>
        <w:pStyle w:val="Normal"/>
        <w:jc w:val="center"/>
        <w:rPr>
          <w:rFonts w:ascii="宋体;SimSun" w:hAnsi="宋体;SimSun" w:eastAsia="楷体_GB2312" w:cs="宋体;SimSun" w:hint="eastAsia"/>
          <w:b/>
          <w:color w:val="000000"/>
          <w:sz w:val="44"/>
          <w:szCs w:val="44"/>
        </w:rPr>
      </w:pPr>
      <w:r>
        <w:rPr>
          <w:rFonts w:eastAsia="楷体_GB2312" w:cs="宋体;SimSun" w:hint="eastAsia" w:ascii="宋体;SimSun" w:hAnsi="宋体;SimSun"/>
          <w:b/>
          <w:color w:val="000000"/>
          <w:sz w:val="44"/>
          <w:szCs w:val="44"/>
        </w:rPr>
      </w:r>
    </w:p>
    <w:p>
      <w:pPr>
        <w:pStyle w:val="Normal"/>
        <w:rPr/>
      </w:pPr>
      <w:r>
        <w:rPr>
          <w:rFonts w:eastAsia="楷体_GB2312" w:hint="eastAsia"/>
          <w:color w:val="000000"/>
        </w:rPr>
        <w:t xml:space="preserve">    </w:t>
      </w:r>
      <w:r>
        <w:rPr>
          <w:rFonts w:hint="eastAsia" w:eastAsia="楷体_GB2312"/>
          <w:color w:val="000000"/>
        </w:rPr>
        <w:t>（</w:t>
      </w:r>
      <w:r>
        <w:rPr>
          <w:rFonts w:eastAsia="楷体_GB2312" w:hint="eastAsia"/>
          <w:color w:val="000000"/>
        </w:rPr>
        <w:t>2018</w:t>
      </w:r>
      <w:r>
        <w:rPr>
          <w:rFonts w:hint="eastAsia" w:eastAsia="楷体_GB2312"/>
          <w:color w:val="000000"/>
        </w:rPr>
        <w:t>年</w:t>
      </w:r>
      <w:r>
        <w:rPr>
          <w:rFonts w:eastAsia="楷体_GB2312" w:hint="eastAsia"/>
          <w:color w:val="000000"/>
        </w:rPr>
        <w:t>8</w:t>
      </w:r>
      <w:r>
        <w:rPr>
          <w:rFonts w:hint="eastAsia" w:eastAsia="楷体_GB2312"/>
          <w:color w:val="000000"/>
        </w:rPr>
        <w:t>月</w:t>
      </w:r>
      <w:r>
        <w:rPr>
          <w:rFonts w:eastAsia="楷体_GB2312" w:hint="eastAsia"/>
          <w:color w:val="000000"/>
        </w:rPr>
        <w:t>20</w:t>
      </w:r>
      <w:r>
        <w:rPr>
          <w:rFonts w:hint="eastAsia" w:eastAsia="楷体_GB2312"/>
          <w:color w:val="000000"/>
        </w:rPr>
        <w:t>日池州市第四届人民代表大会常务委员会第六次会议通过</w:t>
      </w:r>
      <w:r>
        <w:rPr>
          <w:rFonts w:cs="楷体_GB2312" w:eastAsia="楷体_GB2312"/>
        </w:rPr>
        <w:t xml:space="preserve"> </w:t>
      </w:r>
      <w:r>
        <w:rPr>
          <w:rFonts w:cs="楷体_GB2312" w:hint="eastAsia" w:eastAsia="楷体_GB2312"/>
        </w:rPr>
        <w:t xml:space="preserve"> </w:t>
      </w:r>
      <w:r>
        <w:rPr>
          <w:rStyle w:val="Strong"/>
          <w:rFonts w:eastAsia="楷体_GB2312"/>
          <w:b w:val="false"/>
          <w:kern w:val="2"/>
        </w:rPr>
        <w:t>2018</w:t>
      </w:r>
      <w:r>
        <w:rPr>
          <w:rStyle w:val="Strong"/>
          <w:rFonts w:hint="eastAsia" w:eastAsia="楷体_GB2312"/>
          <w:b w:val="false"/>
          <w:kern w:val="2"/>
        </w:rPr>
        <w:t>年</w:t>
      </w:r>
      <w:r>
        <w:rPr>
          <w:rStyle w:val="Strong"/>
          <w:rFonts w:eastAsia="楷体_GB2312"/>
          <w:b w:val="false"/>
          <w:kern w:val="2"/>
        </w:rPr>
        <w:t>9</w:t>
      </w:r>
      <w:r>
        <w:rPr>
          <w:rStyle w:val="Strong"/>
          <w:rFonts w:hint="eastAsia" w:eastAsia="楷体_GB2312"/>
          <w:b w:val="false"/>
          <w:kern w:val="2"/>
        </w:rPr>
        <w:t>月</w:t>
      </w:r>
      <w:r>
        <w:rPr>
          <w:rStyle w:val="Strong"/>
          <w:rFonts w:eastAsia="楷体_GB2312" w:hint="eastAsia"/>
          <w:b w:val="false"/>
          <w:kern w:val="2"/>
        </w:rPr>
        <w:t>29</w:t>
      </w:r>
      <w:r>
        <w:rPr>
          <w:rStyle w:val="Strong"/>
          <w:rFonts w:hint="eastAsia" w:eastAsia="楷体_GB2312"/>
          <w:b w:val="false"/>
          <w:kern w:val="2"/>
        </w:rPr>
        <w:t>日安徽省第十三届人民代表大会常务委员会第五次会议批准</w:t>
      </w:r>
      <w:r>
        <w:rPr>
          <w:rFonts w:hint="eastAsia" w:eastAsia="楷体_GB2312"/>
          <w:color w:val="000000"/>
        </w:rPr>
        <w:t>）</w:t>
      </w:r>
    </w:p>
    <w:p>
      <w:pPr>
        <w:pStyle w:val="Normal"/>
        <w:rPr>
          <w:rFonts w:eastAsia="黑体;SimHei" w:hint="eastAsia"/>
          <w:color w:val="000000"/>
        </w:rPr>
      </w:pPr>
      <w:r>
        <w:rPr>
          <w:rFonts w:eastAsia="黑体;SimHei" w:hint="eastAsia"/>
          <w:color w:val="000000"/>
        </w:rPr>
      </w:r>
    </w:p>
    <w:p>
      <w:pPr>
        <w:pStyle w:val="Normal"/>
        <w:ind w:firstLineChars="200" w:startChars="0" w:start="0" w:endChars="0" w:end="0"/>
        <w:rPr/>
      </w:pPr>
      <w:r>
        <w:rPr>
          <w:rFonts w:cs="黑体;SimHei" w:hint="eastAsia" w:eastAsia="黑体;SimHei"/>
          <w:color w:val="000000"/>
        </w:rPr>
        <w:t>第一条</w:t>
      </w:r>
      <w:r>
        <w:rPr>
          <w:rFonts w:hint="eastAsia"/>
          <w:color w:val="000000"/>
        </w:rPr>
        <w:t xml:space="preserve">  为了保障公共安全和人身、财产安全，减少环境污染，根据《烟花爆竹安全管理条例》和有关法律、行政法规的规定，结合本市实际，制定本条例。</w:t>
      </w:r>
    </w:p>
    <w:p>
      <w:pPr>
        <w:pStyle w:val="Normal"/>
        <w:ind w:firstLineChars="200" w:startChars="0" w:start="0" w:endChars="0" w:end="0"/>
        <w:rPr/>
      </w:pPr>
      <w:r>
        <w:rPr>
          <w:rFonts w:cs="黑体;SimHei" w:hint="eastAsia" w:eastAsia="黑体;SimHei"/>
          <w:color w:val="000000"/>
        </w:rPr>
        <w:t>第二条</w:t>
      </w:r>
      <w:r>
        <w:rPr>
          <w:rFonts w:hint="eastAsia"/>
          <w:color w:val="000000"/>
        </w:rPr>
        <w:t xml:space="preserve">  本条例适用于本行政区域内燃放和经营烟花爆竹的活动。</w:t>
      </w:r>
    </w:p>
    <w:p>
      <w:pPr>
        <w:pStyle w:val="Normal"/>
        <w:ind w:firstLineChars="200" w:startChars="0" w:start="0" w:endChars="0" w:end="0"/>
        <w:rPr/>
      </w:pPr>
      <w:r>
        <w:rPr>
          <w:rFonts w:cs="黑体;SimHei" w:hint="eastAsia" w:eastAsia="黑体;SimHei"/>
          <w:color w:val="000000"/>
        </w:rPr>
        <w:t>第三条</w:t>
      </w:r>
      <w:r>
        <w:rPr>
          <w:rFonts w:hint="eastAsia"/>
          <w:color w:val="000000"/>
        </w:rPr>
        <w:t xml:space="preserve">  市人民政府应当加强全市燃放经营烟花爆竹的管理工作，建立烟花爆竹管理联席会议制度和联防联控长效工作机制，完善燃放经营烟花爆竹工作责任制。</w:t>
      </w:r>
    </w:p>
    <w:p>
      <w:pPr>
        <w:pStyle w:val="Normal"/>
        <w:ind w:firstLineChars="200" w:startChars="0" w:start="0" w:endChars="0" w:end="0"/>
        <w:rPr/>
      </w:pPr>
      <w:r>
        <w:rPr>
          <w:rFonts w:hint="eastAsia"/>
          <w:color w:val="000000"/>
        </w:rPr>
        <w:t>县、区人民政府</w:t>
      </w:r>
      <w:r>
        <w:rPr>
          <w:rFonts w:cs="Arial" w:hint="eastAsia"/>
          <w:color w:val="000000"/>
          <w:shd w:fill="FFFFFF" w:val="clear"/>
        </w:rPr>
        <w:t>负责本辖区燃放经营烟花爆竹的管理工作</w:t>
      </w:r>
      <w:r>
        <w:rPr>
          <w:rFonts w:hint="eastAsia"/>
          <w:color w:val="000000"/>
        </w:rPr>
        <w:t>。</w:t>
      </w:r>
    </w:p>
    <w:p>
      <w:pPr>
        <w:pStyle w:val="Normal"/>
        <w:ind w:firstLineChars="200" w:startChars="0" w:start="0" w:endChars="0" w:end="0"/>
        <w:rPr>
          <w:rFonts w:hint="eastAsia"/>
          <w:color w:val="000000"/>
        </w:rPr>
      </w:pPr>
      <w:r>
        <w:rPr>
          <w:rFonts w:hint="eastAsia"/>
          <w:color w:val="000000"/>
        </w:rPr>
        <w:t>乡、镇人民政府和街道办事处应当依照职责落实本辖区燃放经营烟花爆竹管理的具体工作。</w:t>
      </w:r>
    </w:p>
    <w:p>
      <w:pPr>
        <w:pStyle w:val="Normal"/>
        <w:ind w:firstLineChars="200" w:startChars="0" w:start="0" w:endChars="0" w:end="0"/>
        <w:rPr>
          <w:rFonts w:hint="eastAsia"/>
          <w:color w:val="000000"/>
        </w:rPr>
      </w:pPr>
      <w:r>
        <w:rPr>
          <w:rFonts w:hint="eastAsia"/>
          <w:color w:val="000000"/>
        </w:rPr>
        <w:t>江南产业集中区、相关开发区和风景区管委会应当按照市人民政府的要求做好本辖区燃放经营烟花爆竹的管理工作。</w:t>
      </w:r>
    </w:p>
    <w:p>
      <w:pPr>
        <w:pStyle w:val="Normal"/>
        <w:ind w:firstLineChars="200" w:startChars="0" w:start="0" w:endChars="0" w:end="0"/>
        <w:rPr/>
      </w:pPr>
      <w:r>
        <w:rPr>
          <w:rFonts w:cs="黑体;SimHei" w:hint="eastAsia" w:eastAsia="黑体;SimHei"/>
          <w:color w:val="000000"/>
        </w:rPr>
        <w:t>第四条</w:t>
      </w:r>
      <w:r>
        <w:rPr>
          <w:rFonts w:hint="eastAsia"/>
          <w:color w:val="000000"/>
        </w:rPr>
        <w:t xml:space="preserve">  公安机关负责烟花爆竹的公共安全管理，履行燃放烟花爆竹的指导、协调和监督职责，依法查处未经许可经由道路运输烟花爆竹以及违法燃放烟花爆竹的行为。</w:t>
      </w:r>
    </w:p>
    <w:p>
      <w:pPr>
        <w:pStyle w:val="Normal"/>
        <w:ind w:firstLineChars="200" w:startChars="0" w:start="0" w:endChars="0" w:end="0"/>
        <w:rPr>
          <w:rFonts w:hint="eastAsia"/>
          <w:color w:val="000000"/>
        </w:rPr>
      </w:pPr>
      <w:r>
        <w:rPr>
          <w:rFonts w:hint="eastAsia"/>
          <w:color w:val="000000"/>
        </w:rPr>
        <w:t>安全生产监督管理部门负责烟花爆竹的安全生产监督管理，依法查处非法生产、经营烟花爆竹的行为。</w:t>
      </w:r>
    </w:p>
    <w:p>
      <w:pPr>
        <w:pStyle w:val="Normal"/>
        <w:ind w:firstLineChars="200" w:startChars="0" w:start="0" w:endChars="0" w:end="0"/>
        <w:rPr>
          <w:rFonts w:hint="eastAsia"/>
          <w:color w:val="000000"/>
        </w:rPr>
      </w:pPr>
      <w:r>
        <w:rPr>
          <w:rFonts w:hint="eastAsia"/>
          <w:color w:val="000000"/>
        </w:rPr>
        <w:t>住房城乡建设部门负责督促建设、施工等单位遵守烟花爆竹</w:t>
      </w:r>
      <w:r>
        <w:rPr>
          <w:rFonts w:hint="eastAsia"/>
          <w:color w:val="000000"/>
          <w:spacing w:val="-6"/>
        </w:rPr>
        <w:t>管理规定，督促物业服务企业做好燃放烟花爆竹的管理和监督工作。</w:t>
      </w:r>
    </w:p>
    <w:p>
      <w:pPr>
        <w:pStyle w:val="Normal"/>
        <w:ind w:firstLineChars="200" w:startChars="0" w:start="0" w:endChars="0" w:end="0"/>
        <w:rPr>
          <w:rFonts w:hint="eastAsia"/>
          <w:color w:val="000000"/>
        </w:rPr>
      </w:pPr>
      <w:r>
        <w:rPr>
          <w:rFonts w:hint="eastAsia"/>
          <w:color w:val="000000"/>
        </w:rPr>
        <w:t>民政部门负责指导婚姻登记、殡仪馆、陵园等单位开展宣传，引导婚丧嫁娶活动遵守燃放烟花爆竹管理规定。</w:t>
      </w:r>
    </w:p>
    <w:p>
      <w:pPr>
        <w:pStyle w:val="Normal"/>
        <w:ind w:firstLineChars="200" w:startChars="0" w:start="0" w:endChars="0" w:end="0"/>
        <w:rPr>
          <w:rFonts w:hint="eastAsia"/>
          <w:color w:val="000000"/>
        </w:rPr>
      </w:pPr>
      <w:r>
        <w:rPr>
          <w:rFonts w:hint="eastAsia"/>
          <w:color w:val="000000"/>
        </w:rPr>
        <w:t>环境保护、林业、交通运输、市场监管、城市管理、教育、旅游、宗教、气象等部门按照各自职责，做好燃放经营烟花爆竹管理工作。</w:t>
      </w:r>
    </w:p>
    <w:p>
      <w:pPr>
        <w:pStyle w:val="Normal"/>
        <w:ind w:firstLineChars="200" w:startChars="0" w:start="0" w:endChars="0" w:end="0"/>
        <w:rPr/>
      </w:pPr>
      <w:r>
        <w:rPr>
          <w:rFonts w:cs="黑体;SimHei" w:hint="eastAsia" w:eastAsia="黑体;SimHei"/>
          <w:color w:val="000000"/>
        </w:rPr>
        <w:t>第五条</w:t>
      </w:r>
      <w:r>
        <w:rPr>
          <w:rFonts w:hint="eastAsia"/>
          <w:color w:val="000000"/>
        </w:rPr>
        <w:t xml:space="preserve">  以下区域禁止燃放烟花爆竹：长江以南，九华河以西，沪渝高速公路和白洋河、宁安铁路以北，秋浦河以东的中心城区区域。包括老城区、经济技术开发区、高新区，以及江南产业集中区、教育园区、平天湖风景区管委会所辖区域、杏花村文化旅游区一期等建成区。具体范围是池阳街道、秋浦街道、清风街道、杏花村街道、江口街道所辖的全部区域，清溪街道、马衙街道、梅龙街道所辖的部分区域。</w:t>
      </w:r>
    </w:p>
    <w:p>
      <w:pPr>
        <w:pStyle w:val="Normal"/>
        <w:ind w:firstLineChars="200" w:startChars="0" w:start="0" w:endChars="0" w:end="0"/>
        <w:rPr/>
      </w:pPr>
      <w:r>
        <w:rPr>
          <w:rFonts w:cs="黑体;SimHei" w:hint="eastAsia" w:eastAsia="黑体;SimHei"/>
          <w:color w:val="000000"/>
        </w:rPr>
        <w:t>第六条</w:t>
      </w:r>
      <w:r>
        <w:rPr>
          <w:rFonts w:hint="eastAsia"/>
          <w:color w:val="000000"/>
        </w:rPr>
        <w:t xml:space="preserve">  禁放区域外，下列场所禁止燃放烟花爆竹：</w:t>
      </w:r>
    </w:p>
    <w:p>
      <w:pPr>
        <w:pStyle w:val="Normal"/>
        <w:ind w:firstLineChars="200" w:startChars="0" w:start="0" w:endChars="0" w:end="0"/>
        <w:rPr>
          <w:rFonts w:hint="eastAsia"/>
          <w:color w:val="000000"/>
        </w:rPr>
      </w:pPr>
      <w:r>
        <w:rPr>
          <w:rFonts w:hint="eastAsia"/>
          <w:color w:val="000000"/>
        </w:rPr>
        <w:t>（一）国家机关办公场所；</w:t>
      </w:r>
    </w:p>
    <w:p>
      <w:pPr>
        <w:pStyle w:val="Normal"/>
        <w:ind w:firstLineChars="200" w:startChars="0" w:start="0" w:endChars="0" w:end="0"/>
        <w:rPr>
          <w:rFonts w:hint="eastAsia"/>
          <w:color w:val="000000"/>
        </w:rPr>
      </w:pPr>
      <w:r>
        <w:rPr>
          <w:rFonts w:hint="eastAsia"/>
          <w:color w:val="000000"/>
        </w:rPr>
        <w:t xml:space="preserve">（二）文物保护单位； </w:t>
      </w:r>
    </w:p>
    <w:p>
      <w:pPr>
        <w:pStyle w:val="Normal"/>
        <w:ind w:firstLineChars="200" w:startChars="0" w:start="0" w:endChars="0" w:end="0"/>
        <w:rPr>
          <w:rFonts w:hint="eastAsia"/>
          <w:color w:val="000000"/>
        </w:rPr>
      </w:pPr>
      <w:r>
        <w:rPr>
          <w:rFonts w:hint="eastAsia"/>
          <w:color w:val="000000"/>
        </w:rPr>
        <w:t xml:space="preserve">（三）车站、码头、机场等交通枢纽以及城市主干道、铁路线路安全保护区； </w:t>
      </w:r>
    </w:p>
    <w:p>
      <w:pPr>
        <w:pStyle w:val="Normal"/>
        <w:ind w:firstLineChars="200" w:startChars="0" w:start="0" w:endChars="0" w:end="0"/>
        <w:rPr>
          <w:rFonts w:hint="eastAsia"/>
          <w:color w:val="000000"/>
        </w:rPr>
      </w:pPr>
      <w:r>
        <w:rPr>
          <w:rFonts w:hint="eastAsia"/>
          <w:color w:val="000000"/>
        </w:rPr>
        <w:t xml:space="preserve">（四）易燃易爆物品生产、储存单位； </w:t>
      </w:r>
    </w:p>
    <w:p>
      <w:pPr>
        <w:pStyle w:val="Normal"/>
        <w:ind w:firstLineChars="200" w:startChars="0" w:start="0" w:endChars="0" w:end="0"/>
        <w:rPr>
          <w:rFonts w:hint="eastAsia"/>
          <w:color w:val="000000"/>
        </w:rPr>
      </w:pPr>
      <w:r>
        <w:rPr>
          <w:rFonts w:hint="eastAsia"/>
          <w:color w:val="000000"/>
        </w:rPr>
        <w:t xml:space="preserve">（五）输变电设施安全保护区； </w:t>
      </w:r>
    </w:p>
    <w:p>
      <w:pPr>
        <w:pStyle w:val="Normal"/>
        <w:ind w:firstLineChars="200" w:startChars="0" w:start="0" w:endChars="0" w:end="0"/>
        <w:rPr>
          <w:rFonts w:hint="eastAsia"/>
          <w:color w:val="000000"/>
        </w:rPr>
      </w:pPr>
      <w:r>
        <w:rPr>
          <w:rFonts w:hint="eastAsia"/>
          <w:color w:val="000000"/>
        </w:rPr>
        <w:t>（六）军事设施安全保护区；</w:t>
      </w:r>
    </w:p>
    <w:p>
      <w:pPr>
        <w:pStyle w:val="Normal"/>
        <w:ind w:firstLineChars="200" w:startChars="0" w:start="0" w:endChars="0" w:end="0"/>
        <w:rPr>
          <w:rFonts w:hint="eastAsia"/>
          <w:color w:val="000000"/>
        </w:rPr>
      </w:pPr>
      <w:r>
        <w:rPr>
          <w:rFonts w:hint="eastAsia"/>
          <w:color w:val="000000"/>
        </w:rPr>
        <w:t xml:space="preserve">（七）医疗机构、幼儿园、学校、养老机构； </w:t>
      </w:r>
    </w:p>
    <w:p>
      <w:pPr>
        <w:pStyle w:val="Normal"/>
        <w:ind w:firstLineChars="200" w:startChars="0" w:start="0" w:endChars="0" w:end="0"/>
        <w:rPr>
          <w:rFonts w:hint="eastAsia"/>
          <w:color w:val="000000"/>
        </w:rPr>
      </w:pPr>
      <w:r>
        <w:rPr>
          <w:rFonts w:hint="eastAsia"/>
          <w:color w:val="000000"/>
        </w:rPr>
        <w:t xml:space="preserve">（八）风景名胜区、公园； </w:t>
      </w:r>
    </w:p>
    <w:p>
      <w:pPr>
        <w:pStyle w:val="Normal"/>
        <w:ind w:firstLineChars="200" w:startChars="0" w:start="0" w:endChars="0" w:end="0"/>
        <w:rPr>
          <w:rFonts w:hint="eastAsia"/>
          <w:color w:val="000000"/>
        </w:rPr>
      </w:pPr>
      <w:r>
        <w:rPr>
          <w:rFonts w:hint="eastAsia"/>
          <w:color w:val="000000"/>
        </w:rPr>
        <w:t xml:space="preserve">（九）山林、绿地、苗圃等重点防火区； </w:t>
      </w:r>
    </w:p>
    <w:p>
      <w:pPr>
        <w:pStyle w:val="Normal"/>
        <w:ind w:firstLineChars="200" w:startChars="0" w:start="0" w:endChars="0" w:end="0"/>
        <w:rPr>
          <w:rFonts w:hint="eastAsia"/>
          <w:color w:val="000000"/>
        </w:rPr>
      </w:pPr>
      <w:r>
        <w:rPr>
          <w:rFonts w:hint="eastAsia"/>
          <w:color w:val="000000"/>
        </w:rPr>
        <w:t xml:space="preserve">（十）商场、集贸市场、公共文化活动场所、宗教活动场所等人员密集场所； </w:t>
      </w:r>
    </w:p>
    <w:p>
      <w:pPr>
        <w:pStyle w:val="Normal"/>
        <w:ind w:firstLineChars="200" w:startChars="0" w:start="0" w:endChars="0" w:end="0"/>
        <w:rPr>
          <w:rFonts w:hint="eastAsia"/>
          <w:color w:val="000000"/>
        </w:rPr>
      </w:pPr>
      <w:r>
        <w:rPr>
          <w:rFonts w:hint="eastAsia"/>
          <w:color w:val="000000"/>
        </w:rPr>
        <w:t>（十一）殡仪馆、公墓等公共祭扫场所非指定地点。</w:t>
      </w:r>
    </w:p>
    <w:p>
      <w:pPr>
        <w:pStyle w:val="Normal"/>
        <w:ind w:firstLineChars="200" w:startChars="0" w:start="0" w:endChars="0" w:end="0"/>
        <w:rPr/>
      </w:pPr>
      <w:r>
        <w:rPr>
          <w:rFonts w:cs="黑体;SimHei" w:hint="eastAsia" w:eastAsia="黑体;SimHei"/>
          <w:color w:val="000000"/>
        </w:rPr>
        <w:t>第七条</w:t>
      </w:r>
      <w:r>
        <w:rPr>
          <w:rFonts w:hint="eastAsia"/>
          <w:color w:val="000000"/>
        </w:rPr>
        <w:t xml:space="preserve">  市和县、区人民政府可以根据本行政区域的实际情况，在第五条和第六条规定的禁放区域和场所外，确定限制或者禁止燃放烟花爆竹的区域、时间、场所，并向社会公告。</w:t>
      </w:r>
    </w:p>
    <w:p>
      <w:pPr>
        <w:pStyle w:val="Normal"/>
        <w:ind w:firstLineChars="200" w:startChars="0" w:start="0" w:endChars="0" w:end="0"/>
        <w:rPr>
          <w:rFonts w:hint="eastAsia"/>
          <w:color w:val="000000"/>
        </w:rPr>
      </w:pPr>
      <w:r>
        <w:rPr>
          <w:rFonts w:hint="eastAsia"/>
          <w:color w:val="000000"/>
        </w:rPr>
        <w:t>有关单位应当在禁放场所设置明显的禁止燃放烟花爆竹警示标志。</w:t>
      </w:r>
    </w:p>
    <w:p>
      <w:pPr>
        <w:pStyle w:val="Normal"/>
        <w:ind w:firstLineChars="200" w:startChars="0" w:start="0" w:endChars="0" w:end="0"/>
        <w:rPr/>
      </w:pPr>
      <w:r>
        <w:rPr>
          <w:rFonts w:cs="黑体;SimHei" w:hint="eastAsia" w:eastAsia="黑体;SimHei"/>
          <w:color w:val="000000"/>
        </w:rPr>
        <w:t>第八条</w:t>
      </w:r>
      <w:r>
        <w:rPr>
          <w:rFonts w:hint="eastAsia"/>
          <w:color w:val="000000"/>
        </w:rPr>
        <w:t xml:space="preserve">  重污染天气预警期间，本市行政区域内全面禁止燃放烟花爆竹。</w:t>
      </w:r>
    </w:p>
    <w:p>
      <w:pPr>
        <w:pStyle w:val="Normal"/>
        <w:ind w:firstLineChars="200" w:startChars="0" w:start="0" w:endChars="0" w:end="0"/>
        <w:rPr>
          <w:rFonts w:hint="eastAsia"/>
          <w:color w:val="000000"/>
        </w:rPr>
      </w:pPr>
      <w:r>
        <w:rPr>
          <w:rFonts w:hint="eastAsia"/>
          <w:color w:val="000000"/>
        </w:rPr>
        <w:t>市人民政府应当通过多种形式及时发布重污染天气预警，提示在此期间禁止燃放烟花爆竹。</w:t>
      </w:r>
    </w:p>
    <w:p>
      <w:pPr>
        <w:pStyle w:val="Normal"/>
        <w:ind w:firstLineChars="200" w:startChars="0" w:start="0" w:endChars="0" w:end="0"/>
        <w:rPr/>
      </w:pPr>
      <w:r>
        <w:rPr>
          <w:rFonts w:cs="黑体;SimHei" w:hint="eastAsia" w:eastAsia="黑体;SimHei"/>
          <w:color w:val="000000"/>
        </w:rPr>
        <w:t>第九条</w:t>
      </w:r>
      <w:r>
        <w:rPr>
          <w:rFonts w:hint="eastAsia"/>
          <w:color w:val="000000"/>
        </w:rPr>
        <w:t xml:space="preserve">  燃放烟花爆竹应当遵守下列安全规定：</w:t>
      </w:r>
    </w:p>
    <w:p>
      <w:pPr>
        <w:pStyle w:val="Normal"/>
        <w:ind w:firstLineChars="200" w:startChars="0" w:start="0" w:endChars="0" w:end="0"/>
        <w:rPr>
          <w:rFonts w:hint="eastAsia"/>
          <w:color w:val="000000"/>
        </w:rPr>
      </w:pPr>
      <w:r>
        <w:rPr>
          <w:rFonts w:hint="eastAsia"/>
          <w:color w:val="000000"/>
        </w:rPr>
        <w:t>（一）不得向行人、车辆、建筑物、构筑物等投掷烟花爆竹；</w:t>
      </w:r>
    </w:p>
    <w:p>
      <w:pPr>
        <w:pStyle w:val="Normal"/>
        <w:ind w:firstLineChars="200" w:startChars="0" w:start="0" w:endChars="0" w:end="0"/>
        <w:rPr>
          <w:rFonts w:hint="eastAsia"/>
          <w:color w:val="000000"/>
        </w:rPr>
      </w:pPr>
      <w:r>
        <w:rPr>
          <w:rFonts w:hint="eastAsia"/>
          <w:color w:val="000000"/>
        </w:rPr>
        <w:t>（二）不得妨碍行人、车辆安全通行和影响交通秩序；</w:t>
      </w:r>
    </w:p>
    <w:p>
      <w:pPr>
        <w:pStyle w:val="Normal"/>
        <w:ind w:firstLineChars="200" w:startChars="0" w:start="0" w:endChars="0" w:end="0"/>
        <w:rPr>
          <w:rFonts w:hint="eastAsia"/>
          <w:color w:val="000000"/>
        </w:rPr>
      </w:pPr>
      <w:r>
        <w:rPr>
          <w:rFonts w:hint="eastAsia"/>
          <w:color w:val="000000"/>
        </w:rPr>
        <w:t>（三）不得在建筑物、构筑物内燃放或者从阳台、窗户向外抛掷烟花爆竹；</w:t>
      </w:r>
    </w:p>
    <w:p>
      <w:pPr>
        <w:pStyle w:val="Normal"/>
        <w:ind w:firstLineChars="200" w:startChars="0" w:start="0" w:endChars="0" w:end="0"/>
        <w:rPr>
          <w:rFonts w:hint="eastAsia"/>
          <w:color w:val="000000"/>
        </w:rPr>
      </w:pPr>
      <w:r>
        <w:rPr>
          <w:rFonts w:hint="eastAsia"/>
          <w:color w:val="000000"/>
        </w:rPr>
        <w:t>（四）未经许可不得燃放专业燃放类烟花爆竹；</w:t>
      </w:r>
    </w:p>
    <w:p>
      <w:pPr>
        <w:pStyle w:val="Normal"/>
        <w:ind w:firstLineChars="200" w:startChars="0" w:start="0" w:endChars="0" w:end="0"/>
        <w:rPr>
          <w:rFonts w:hint="eastAsia"/>
          <w:color w:val="000000"/>
        </w:rPr>
      </w:pPr>
      <w:r>
        <w:rPr>
          <w:rFonts w:hint="eastAsia"/>
          <w:color w:val="000000"/>
        </w:rPr>
        <w:t>（五）不得采用其他危害公共安全和人身、财产安全的方式燃放。</w:t>
      </w:r>
    </w:p>
    <w:p>
      <w:pPr>
        <w:pStyle w:val="Normal"/>
        <w:ind w:firstLineChars="200" w:startChars="0" w:start="0" w:endChars="0" w:end="0"/>
        <w:rPr/>
      </w:pPr>
      <w:r>
        <w:rPr>
          <w:rFonts w:cs="黑体;SimHei" w:hint="eastAsia" w:eastAsia="黑体;SimHei"/>
          <w:color w:val="000000"/>
        </w:rPr>
        <w:t>第十条</w:t>
      </w:r>
      <w:r>
        <w:rPr>
          <w:rFonts w:hint="eastAsia"/>
          <w:color w:val="000000"/>
        </w:rPr>
        <w:t xml:space="preserve">  经营烟花爆竹应当依法取得许可，经营的烟花爆竹应当</w:t>
      </w:r>
      <w:r>
        <w:rPr>
          <w:rFonts w:cs="Arial" w:hint="eastAsia"/>
          <w:color w:val="000000"/>
        </w:rPr>
        <w:t>符合国家或者行业标准</w:t>
      </w:r>
      <w:r>
        <w:rPr>
          <w:rFonts w:hint="eastAsia"/>
          <w:color w:val="000000"/>
        </w:rPr>
        <w:t>。</w:t>
      </w:r>
    </w:p>
    <w:p>
      <w:pPr>
        <w:pStyle w:val="Normal"/>
        <w:ind w:firstLineChars="200" w:startChars="0" w:start="0" w:endChars="0" w:end="0"/>
        <w:rPr>
          <w:rFonts w:hint="eastAsia"/>
          <w:color w:val="000000"/>
        </w:rPr>
      </w:pPr>
      <w:r>
        <w:rPr>
          <w:rFonts w:hint="eastAsia"/>
          <w:color w:val="000000"/>
        </w:rPr>
        <w:t>禁止在禁放区域和禁放场所经营烟花爆竹。</w:t>
      </w:r>
    </w:p>
    <w:p>
      <w:pPr>
        <w:pStyle w:val="Normal"/>
        <w:ind w:firstLineChars="200" w:startChars="0" w:start="0" w:endChars="0" w:end="0"/>
        <w:rPr/>
      </w:pPr>
      <w:r>
        <w:rPr>
          <w:rFonts w:cs="黑体;SimHei" w:hint="eastAsia" w:eastAsia="黑体;SimHei"/>
          <w:color w:val="000000"/>
        </w:rPr>
        <w:t>第十一条</w:t>
      </w:r>
      <w:r>
        <w:rPr>
          <w:rFonts w:hint="eastAsia"/>
          <w:color w:val="000000"/>
        </w:rPr>
        <w:t xml:space="preserve">  禁止经营者在烟花爆竹经营许可证载明的场所以外储存烟花爆竹。</w:t>
      </w:r>
    </w:p>
    <w:p>
      <w:pPr>
        <w:pStyle w:val="Normal"/>
        <w:ind w:firstLineChars="200" w:startChars="0" w:start="0" w:endChars="0" w:end="0"/>
        <w:rPr>
          <w:rFonts w:hint="eastAsia"/>
          <w:color w:val="000000"/>
        </w:rPr>
      </w:pPr>
      <w:r>
        <w:rPr>
          <w:rFonts w:hint="eastAsia"/>
          <w:color w:val="000000"/>
        </w:rPr>
        <w:t>烟花爆竹零售经营者存放的烟花爆竹数量不得超过零售许可证载明的数量。</w:t>
      </w:r>
    </w:p>
    <w:p>
      <w:pPr>
        <w:pStyle w:val="Normal"/>
        <w:ind w:firstLineChars="200" w:startChars="0" w:start="0" w:endChars="0" w:end="0"/>
        <w:rPr/>
      </w:pPr>
      <w:r>
        <w:rPr>
          <w:rFonts w:cs="黑体;SimHei" w:hint="eastAsia" w:eastAsia="黑体;SimHei"/>
          <w:color w:val="000000"/>
        </w:rPr>
        <w:t>第十二条</w:t>
      </w:r>
      <w:r>
        <w:rPr>
          <w:rFonts w:hint="eastAsia"/>
          <w:color w:val="000000"/>
        </w:rPr>
        <w:t xml:space="preserve">  烟花爆竹的批发企业、零售经营者应当如实记录烟花爆竹经营信息。</w:t>
      </w:r>
    </w:p>
    <w:p>
      <w:pPr>
        <w:pStyle w:val="Normal"/>
        <w:ind w:firstLineChars="200" w:startChars="0" w:start="0" w:endChars="0" w:end="0"/>
        <w:rPr/>
      </w:pPr>
      <w:r>
        <w:rPr>
          <w:rFonts w:cs="黑体;SimHei" w:hint="eastAsia" w:eastAsia="黑体;SimHei"/>
          <w:color w:val="000000"/>
        </w:rPr>
        <w:t>第十三条</w:t>
      </w:r>
      <w:r>
        <w:rPr>
          <w:rFonts w:hint="eastAsia"/>
          <w:color w:val="000000"/>
        </w:rPr>
        <w:t xml:space="preserve">  本市各级人民政府及有关部门、街道办事处、居民委员会、村民委员会，以及企事业单位、社会团体等单位，应当开展烟花爆竹管理的宣传教育活动，并在重大节日期间加大对烟花爆竹管理的宣传力度。</w:t>
      </w:r>
    </w:p>
    <w:p>
      <w:pPr>
        <w:pStyle w:val="Normal"/>
        <w:ind w:firstLineChars="200" w:startChars="0" w:start="0" w:endChars="0" w:end="0"/>
        <w:rPr>
          <w:rFonts w:hint="eastAsia"/>
          <w:color w:val="000000"/>
        </w:rPr>
      </w:pPr>
      <w:r>
        <w:rPr>
          <w:rFonts w:hint="eastAsia"/>
          <w:color w:val="000000"/>
        </w:rPr>
        <w:t>广播、电视、报刊、互联网等媒体，应当开展烟花爆竹安全管理公益性宣传工作。</w:t>
      </w:r>
    </w:p>
    <w:p>
      <w:pPr>
        <w:pStyle w:val="Normal"/>
        <w:ind w:firstLineChars="200" w:startChars="0" w:start="0" w:endChars="0" w:end="0"/>
        <w:rPr>
          <w:rFonts w:hint="eastAsia"/>
          <w:color w:val="000000"/>
        </w:rPr>
      </w:pPr>
      <w:r>
        <w:rPr>
          <w:rFonts w:hint="eastAsia"/>
          <w:color w:val="000000"/>
        </w:rPr>
        <w:t>监护人应当对无民事行为能力人、限制民事行为能力人进行燃放烟花爆竹的教育和监管。</w:t>
      </w:r>
    </w:p>
    <w:p>
      <w:pPr>
        <w:pStyle w:val="Normal"/>
        <w:ind w:firstLineChars="200" w:startChars="0" w:start="0" w:endChars="0" w:end="0"/>
        <w:rPr/>
      </w:pPr>
      <w:r>
        <w:rPr>
          <w:rFonts w:cs="黑体;SimHei" w:hint="eastAsia" w:eastAsia="黑体;SimHei"/>
          <w:color w:val="000000"/>
        </w:rPr>
        <w:t>第十四条</w:t>
      </w:r>
      <w:r>
        <w:rPr>
          <w:rFonts w:hint="eastAsia"/>
          <w:color w:val="000000"/>
        </w:rPr>
        <w:t xml:space="preserve">  </w:t>
      </w:r>
      <w:r>
        <w:rPr>
          <w:rFonts w:cs="宋体;SimSun" w:hint="eastAsia"/>
          <w:color w:val="000000"/>
        </w:rPr>
        <w:t>居民委员会、村民委员会可以组织属地管理或者服务区域的居民、村民以及宾馆、酒店、物业服务企业等单位，制定燃放烟花爆竹管理公约，并监督实施。</w:t>
      </w:r>
    </w:p>
    <w:p>
      <w:pPr>
        <w:pStyle w:val="Normal"/>
        <w:ind w:firstLineChars="200" w:startChars="0" w:start="0" w:endChars="0" w:end="0"/>
        <w:rPr/>
      </w:pPr>
      <w:r>
        <w:rPr>
          <w:rFonts w:cs="宋体;SimSun" w:hint="eastAsia"/>
          <w:color w:val="000000"/>
        </w:rPr>
        <w:t>物业服务企业以及</w:t>
      </w:r>
      <w:r>
        <w:rPr>
          <w:rFonts w:hint="eastAsia"/>
          <w:color w:val="000000"/>
        </w:rPr>
        <w:t>提供婚庆、宴席、殡仪等服务的经营者</w:t>
      </w:r>
      <w:r>
        <w:rPr>
          <w:rFonts w:cs="宋体;SimSun" w:hint="eastAsia"/>
          <w:color w:val="000000"/>
        </w:rPr>
        <w:t>，对经营管理区域内违法燃放烟花爆竹的行为，应当及时予以劝阻；</w:t>
      </w:r>
      <w:r>
        <w:rPr>
          <w:rFonts w:hint="eastAsia"/>
          <w:color w:val="000000"/>
        </w:rPr>
        <w:t>劝阻无效</w:t>
      </w:r>
      <w:r>
        <w:rPr>
          <w:rFonts w:cs="宋体;SimSun" w:hint="eastAsia"/>
          <w:color w:val="000000"/>
        </w:rPr>
        <w:t>的，应当及时向公安机关举报。</w:t>
      </w:r>
    </w:p>
    <w:p>
      <w:pPr>
        <w:pStyle w:val="Normal"/>
        <w:ind w:firstLineChars="200" w:startChars="0" w:start="0" w:endChars="0" w:end="0"/>
        <w:rPr/>
      </w:pPr>
      <w:r>
        <w:rPr>
          <w:rFonts w:cs="黑体;SimHei" w:hint="eastAsia" w:eastAsia="黑体;SimHei"/>
          <w:color w:val="000000"/>
        </w:rPr>
        <w:t>第十五条</w:t>
      </w:r>
      <w:r>
        <w:rPr>
          <w:rFonts w:hint="eastAsia"/>
          <w:color w:val="000000"/>
        </w:rPr>
        <w:t xml:space="preserve">  鼓励单位和个人对违法</w:t>
      </w:r>
      <w:r>
        <w:rPr>
          <w:rFonts w:cs="宋体;SimSun" w:hint="eastAsia"/>
          <w:color w:val="000000"/>
        </w:rPr>
        <w:t>燃放经营烟花爆竹</w:t>
      </w:r>
      <w:r>
        <w:rPr>
          <w:rFonts w:hint="eastAsia"/>
          <w:color w:val="000000"/>
        </w:rPr>
        <w:t>的行为进行劝阻、举报。</w:t>
      </w:r>
    </w:p>
    <w:p>
      <w:pPr>
        <w:pStyle w:val="Normal"/>
        <w:ind w:firstLineChars="200" w:startChars="0" w:start="0" w:endChars="0" w:end="0"/>
        <w:rPr>
          <w:rFonts w:hint="eastAsia"/>
          <w:color w:val="000000"/>
        </w:rPr>
      </w:pPr>
      <w:r>
        <w:rPr>
          <w:rFonts w:hint="eastAsia"/>
          <w:color w:val="000000"/>
        </w:rPr>
        <w:t>公安机关、安全生产监督管理等部门接到举报后，应当依照职责及时查处。对查证属实的，给予举报人奖励。奖励标准由市人民政府制定。</w:t>
      </w:r>
    </w:p>
    <w:p>
      <w:pPr>
        <w:pStyle w:val="Normal"/>
        <w:ind w:firstLineChars="200" w:startChars="0" w:start="0" w:endChars="0" w:end="0"/>
        <w:rPr/>
      </w:pPr>
      <w:r>
        <w:rPr>
          <w:rFonts w:cs="黑体;SimHei" w:hint="eastAsia" w:eastAsia="黑体;SimHei"/>
          <w:color w:val="000000"/>
        </w:rPr>
        <w:t>第十六条</w:t>
      </w:r>
      <w:r>
        <w:rPr>
          <w:rFonts w:hint="eastAsia"/>
          <w:color w:val="000000"/>
        </w:rPr>
        <w:t xml:space="preserve">  违反本条例第五条、第六条、第七条第一款、第八条第一款或者第九条规定，在禁放区域、禁放场所或者重污染天气预警期间燃放烟花爆竹，或者违反燃放烟花爆竹安全规定的，由公安机关责令停止燃放，处一百元以上五百元以下罚款；构成违反治安管理行为的，依法给予治安管理处罚。</w:t>
      </w:r>
    </w:p>
    <w:p>
      <w:pPr>
        <w:pStyle w:val="Normal"/>
        <w:ind w:firstLineChars="200" w:startChars="0" w:start="0" w:endChars="0" w:end="0"/>
        <w:rPr/>
      </w:pPr>
      <w:r>
        <w:rPr>
          <w:rFonts w:cs="黑体;SimHei" w:hint="eastAsia" w:eastAsia="黑体;SimHei"/>
          <w:color w:val="000000"/>
        </w:rPr>
        <w:t>第十七条</w:t>
      </w:r>
      <w:r>
        <w:rPr>
          <w:rFonts w:hint="eastAsia"/>
          <w:color w:val="000000"/>
        </w:rPr>
        <w:t xml:space="preserve">   违反本条例第十条第二款规定，在禁放区域、禁放场所经营烟花爆竹的，由安全生产监督管理部门责令停止违法行为，对批发企业和无经营许可证的零售经营者处两万元以上十万元以下罚款，对有经营许可证的零售经营者处一千元以上五千元以下罚款，并没收违法经营物品和违法所得。</w:t>
      </w:r>
    </w:p>
    <w:p>
      <w:pPr>
        <w:pStyle w:val="Normal"/>
        <w:ind w:firstLineChars="200" w:startChars="0" w:start="0" w:endChars="0" w:end="0"/>
        <w:rPr/>
      </w:pPr>
      <w:r>
        <w:rPr>
          <w:rFonts w:cs="黑体;SimHei" w:hint="eastAsia" w:eastAsia="黑体;SimHei"/>
          <w:color w:val="000000"/>
        </w:rPr>
        <w:t>第十八条</w:t>
      </w:r>
      <w:r>
        <w:rPr>
          <w:rFonts w:hint="eastAsia"/>
          <w:color w:val="000000"/>
        </w:rPr>
        <w:t xml:space="preserve">  批发企业违反本条例第十一条第一款规定，在烟花爆竹经营许可证载明的场所以外储存烟花爆竹的，由安全生产监督管理部门责令其限期改正，处五千元以上三万元以下罚款。</w:t>
      </w:r>
    </w:p>
    <w:p>
      <w:pPr>
        <w:pStyle w:val="Normal"/>
        <w:ind w:firstLineChars="200" w:startChars="0" w:start="0" w:endChars="0" w:end="0"/>
        <w:rPr>
          <w:rFonts w:hint="eastAsia"/>
          <w:color w:val="000000"/>
        </w:rPr>
      </w:pPr>
      <w:r>
        <w:rPr>
          <w:rFonts w:hint="eastAsia"/>
          <w:color w:val="000000"/>
        </w:rPr>
        <w:t>零售经营者违反本条例第十一条第二款规定，存放的烟花爆竹数量超过零售许可证载明数量的，由安全生产监督管理部门责令其限期改正，处一千元以上五千元以下罚款；情节严重的，处五千元以上三万元以下罚款。</w:t>
      </w:r>
    </w:p>
    <w:p>
      <w:pPr>
        <w:pStyle w:val="Normal"/>
        <w:ind w:firstLineChars="200" w:startChars="0" w:start="0" w:endChars="0" w:end="0"/>
        <w:rPr/>
      </w:pPr>
      <w:r>
        <w:rPr>
          <w:rFonts w:cs="黑体;SimHei" w:hint="eastAsia" w:eastAsia="黑体;SimHei"/>
          <w:color w:val="000000"/>
        </w:rPr>
        <w:t>第十九条</w:t>
      </w:r>
      <w:r>
        <w:rPr>
          <w:rFonts w:hint="eastAsia"/>
          <w:color w:val="000000"/>
        </w:rPr>
        <w:t xml:space="preserve">  违反本条例第十四条第二款规定，物业服务企业以及提供婚庆、宴席、殡仪等服务的经营者，对经营管理区域内违法燃放烟花爆竹的行为，不劝阻或者劝阻无效不举报的，公安机关可以对其处一千元以上两千元以下罚款。</w:t>
      </w:r>
    </w:p>
    <w:p>
      <w:pPr>
        <w:pStyle w:val="Normal"/>
        <w:ind w:firstLineChars="200" w:startChars="0" w:start="0" w:endChars="0" w:end="0"/>
        <w:rPr/>
      </w:pPr>
      <w:r>
        <w:rPr>
          <w:rFonts w:cs="黑体;SimHei" w:hint="eastAsia" w:eastAsia="黑体;SimHei"/>
          <w:color w:val="000000"/>
        </w:rPr>
        <w:t>第二十条</w:t>
      </w:r>
      <w:r>
        <w:rPr>
          <w:rFonts w:hint="eastAsia"/>
          <w:color w:val="000000"/>
        </w:rPr>
        <w:t xml:space="preserve">  行政管理部门及其工作人员有下列情形之一的，对负有责任的主管人员和其他直接责任人员依法给予处分：</w:t>
      </w:r>
    </w:p>
    <w:p>
      <w:pPr>
        <w:pStyle w:val="Normal"/>
        <w:ind w:firstLineChars="200" w:startChars="0" w:start="0" w:endChars="0" w:end="0"/>
        <w:rPr>
          <w:rFonts w:hint="eastAsia"/>
          <w:color w:val="000000"/>
        </w:rPr>
      </w:pPr>
      <w:r>
        <w:rPr>
          <w:rFonts w:hint="eastAsia"/>
          <w:color w:val="000000"/>
        </w:rPr>
        <w:t>（一）对不符合法定条件的烟花爆竹经营申请予以许可的；</w:t>
      </w:r>
    </w:p>
    <w:p>
      <w:pPr>
        <w:pStyle w:val="Normal"/>
        <w:ind w:firstLineChars="200" w:startChars="0" w:start="0" w:endChars="0" w:end="0"/>
        <w:rPr>
          <w:rFonts w:hint="eastAsia"/>
          <w:color w:val="000000"/>
        </w:rPr>
      </w:pPr>
      <w:r>
        <w:rPr>
          <w:rFonts w:hint="eastAsia"/>
          <w:color w:val="000000"/>
        </w:rPr>
        <w:t>（二）对违法经营、燃放烟花爆竹的行为不依法查处的；</w:t>
      </w:r>
    </w:p>
    <w:p>
      <w:pPr>
        <w:pStyle w:val="Normal"/>
        <w:ind w:firstLineChars="200" w:startChars="0" w:start="0" w:endChars="0" w:end="0"/>
        <w:rPr>
          <w:rFonts w:hint="eastAsia"/>
          <w:color w:val="000000"/>
        </w:rPr>
      </w:pPr>
      <w:r>
        <w:rPr>
          <w:rFonts w:hint="eastAsia"/>
          <w:color w:val="000000"/>
        </w:rPr>
        <w:t>（三）对举报不受理或者不及时处理的；</w:t>
      </w:r>
    </w:p>
    <w:p>
      <w:pPr>
        <w:pStyle w:val="Normal"/>
        <w:ind w:firstLineChars="200" w:startChars="0" w:start="0" w:endChars="0" w:end="0"/>
        <w:rPr>
          <w:rFonts w:hint="eastAsia"/>
          <w:color w:val="000000"/>
        </w:rPr>
      </w:pPr>
      <w:r>
        <w:rPr>
          <w:rFonts w:hint="eastAsia"/>
          <w:color w:val="000000"/>
        </w:rPr>
        <w:t>（四）其他滥用职权、玩忽职守、徇私舞弊的行为。</w:t>
      </w:r>
    </w:p>
    <w:p>
      <w:pPr>
        <w:pStyle w:val="Style15"/>
        <w:widowControl w:val="false"/>
        <w:shd w:fill="FFFFFF" w:val="clear"/>
        <w:spacing w:before="0" w:after="0"/>
        <w:ind w:firstLineChars="200" w:startChars="0" w:start="0" w:endChars="0" w:end="0"/>
        <w:jc w:val="both"/>
        <w:rPr/>
      </w:pPr>
      <w:r>
        <w:rPr>
          <w:rFonts w:ascii="Times New Roman" w:hAnsi="Times New Roman" w:cs="黑体;SimHei" w:hint="eastAsia" w:eastAsia="黑体;SimHei"/>
          <w:kern w:val="2"/>
          <w:sz w:val="32"/>
          <w:szCs w:val="32"/>
        </w:rPr>
        <w:t>第二十一条</w:t>
      </w:r>
      <w:r>
        <w:rPr>
          <w:rFonts w:ascii="Times New Roman" w:hAnsi="Times New Roman" w:cs="Times New Roman" w:hint="eastAsia" w:eastAsia="仿宋_GB2312"/>
          <w:kern w:val="2"/>
          <w:sz w:val="32"/>
          <w:szCs w:val="32"/>
        </w:rPr>
        <w:t xml:space="preserve">  违反本条例规定的行为，法律、法规已有规定的，从其规定。</w:t>
      </w:r>
    </w:p>
    <w:p>
      <w:pPr>
        <w:pStyle w:val="Normal"/>
        <w:ind w:firstLineChars="200" w:startChars="0" w:start="0" w:endChars="0" w:end="0"/>
        <w:rPr/>
      </w:pPr>
      <w:r>
        <w:rPr>
          <w:rFonts w:cs="黑体;SimHei" w:hint="eastAsia" w:eastAsia="黑体;SimHei"/>
          <w:color w:val="000000"/>
        </w:rPr>
        <w:t>第二十二条</w:t>
      </w:r>
      <w:r>
        <w:rPr>
          <w:rFonts w:hint="eastAsia"/>
          <w:color w:val="000000"/>
        </w:rPr>
        <w:t xml:space="preserve">  本条例自</w:t>
      </w:r>
      <w:r>
        <w:rPr>
          <w:rFonts w:hint="eastAsia"/>
          <w:color w:val="000000"/>
        </w:rPr>
        <w:t>2019</w:t>
      </w:r>
      <w:r>
        <w:rPr>
          <w:rFonts w:hint="eastAsia"/>
          <w:color w:val="000000"/>
        </w:rPr>
        <w:t>年</w:t>
      </w:r>
      <w:r>
        <w:rPr>
          <w:rFonts w:hint="eastAsia"/>
          <w:color w:val="000000"/>
        </w:rPr>
        <w:t>1</w:t>
      </w:r>
      <w:r>
        <w:rPr>
          <w:rFonts w:hint="eastAsia"/>
          <w:color w:val="000000"/>
        </w:rPr>
        <w:t>月</w:t>
      </w:r>
      <w:r>
        <w:rPr>
          <w:rFonts w:hint="eastAsia"/>
          <w:color w:val="000000"/>
        </w:rPr>
        <w:t>1</w:t>
      </w:r>
      <w:r>
        <w:rPr>
          <w:rFonts w:hint="eastAsia"/>
          <w:color w:val="000000"/>
        </w:rPr>
        <w:t>日起施行。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3246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63246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9.8pt;height:41.55pt;mso-wrap-distance-left:0pt;mso-wrap-distance-right:0pt;mso-wrap-distance-top:0pt;mso-wrap-distance-bottom:0pt;margin-top:0.05pt;mso-position-vertical-relative:text;margin-left:392.4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rFonts w:ascii="仿宋" w:hAnsi="仿宋" w:eastAsia="仿宋" w:cs="Times New Roman"/>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font21">
    <w:name w:val="font21"/>
    <w:basedOn w:val="Style14"/>
    <w:qFormat/>
    <w:rPr>
      <w:rFonts w:ascii="Times New Roman" w:hAnsi="Times New Roman" w:cs="Times New Roman"/>
      <w:color w:val="000000"/>
      <w:sz w:val="24"/>
      <w:szCs w:val="24"/>
      <w:u w:val="none"/>
    </w:rPr>
  </w:style>
  <w:style w:type="character" w:styleId="font01">
    <w:name w:val="font01"/>
    <w:basedOn w:val="Style14"/>
    <w:qFormat/>
    <w:rPr>
      <w:rFonts w:ascii="仿宋_GB2312" w:hAnsi="仿宋_GB2312" w:eastAsia="仿宋_GB2312" w:cs="仿宋_GB2312"/>
      <w:color w:val="000000"/>
      <w:sz w:val="24"/>
      <w:szCs w:val="24"/>
      <w:u w:val="none"/>
    </w:rPr>
  </w:style>
  <w:style w:type="character" w:styleId="Strong">
    <w:name w:val="Strong"/>
    <w:basedOn w:val="Style14"/>
    <w:qFormat/>
    <w:rPr>
      <w:rFonts w:cs="Times New Roman"/>
      <w:b/>
      <w:bCs/>
    </w:rPr>
  </w:style>
  <w:style w:type="character" w:styleId="apple-converted-space">
    <w:name w:val="apple-converted-space"/>
    <w:basedOn w:val="Style14"/>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NormalIndent">
    <w:name w:val="Normal Indent"/>
    <w:basedOn w:val="Normal"/>
    <w:qFormat/>
    <w:pPr>
      <w:ind w:firstLine="630" w:start="0" w:end="0"/>
    </w:pPr>
    <w:rPr>
      <w:kern w:val="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2018-10-08T15:12:00Z</dcterms:created>
  <dc:creator>ch</dc:creator>
  <dc:description/>
  <cp:keywords/>
  <dc:language>en-US</dc:language>
  <cp:lastModifiedBy>段铭</cp:lastModifiedBy>
  <cp:lastPrinted>2018-09-17T15:09:00Z</cp:lastPrinted>
  <dcterms:modified xsi:type="dcterms:W3CDTF">2018-10-08T15:54:00Z</dcterms:modified>
  <cp:revision>3</cp:revision>
  <dc:subject/>
  <dc:title>板心</dc:title>
</cp:coreProperties>
</file>