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80"/>
        <w:jc w:val="center"/>
        <w:rPr>
          <w:rFonts w:eastAsia="黑体;SimHei" w:hint="eastAsia"/>
          <w:bCs/>
          <w:sz w:val="28"/>
          <w:szCs w:val="28"/>
        </w:rPr>
      </w:pPr>
      <w:r>
        <w:rPr>
          <w:rFonts w:eastAsia="黑体;SimHei" w:hint="eastAsia"/>
          <w:bCs/>
          <w:sz w:val="28"/>
          <w:szCs w:val="28"/>
        </w:rPr>
      </w:r>
    </w:p>
    <w:p>
      <w:pPr>
        <w:pStyle w:val="Normal"/>
        <w:spacing w:lineRule="exact" w:line="680"/>
        <w:jc w:val="center"/>
        <w:rPr>
          <w:rFonts w:ascii="方正小标宋简体" w:hAnsi="方正小标宋简体" w:eastAsia="方正小标宋简体" w:cs="宋体;SimSun" w:hint="eastAsia"/>
          <w:color w:val="000000"/>
          <w:sz w:val="44"/>
          <w:szCs w:val="36"/>
        </w:rPr>
      </w:pPr>
      <w:r>
        <w:rPr>
          <w:rFonts w:ascii="方正小标宋简体" w:hAnsi="方正小标宋简体" w:cs="宋体;SimSun" w:hint="eastAsia" w:eastAsia="方正小标宋简体"/>
          <w:color w:val="000000"/>
          <w:sz w:val="44"/>
          <w:szCs w:val="36"/>
        </w:rPr>
        <w:t>安徽省人民代表大会常务委员会关于批准</w:t>
      </w:r>
    </w:p>
    <w:p>
      <w:pPr>
        <w:pStyle w:val="Normal"/>
        <w:spacing w:lineRule="exact" w:line="680"/>
        <w:jc w:val="center"/>
        <w:rPr/>
      </w:pPr>
      <w:r>
        <w:rPr>
          <w:rFonts w:ascii="方正小标宋简体" w:hAnsi="方正小标宋简体" w:hint="eastAsia" w:eastAsia="方正小标宋简体"/>
          <w:color w:val="000000"/>
          <w:sz w:val="44"/>
        </w:rPr>
        <w:t>《</w:t>
      </w:r>
      <w:r>
        <w:rPr>
          <w:rFonts w:hint="eastAsia" w:eastAsia="方正小标宋简体"/>
          <w:sz w:val="44"/>
          <w:szCs w:val="44"/>
        </w:rPr>
        <w:t>安庆市花亭湖风景名胜区条例</w:t>
      </w:r>
      <w:r>
        <w:rPr>
          <w:rFonts w:ascii="方正小标宋简体" w:hAnsi="方正小标宋简体" w:hint="eastAsia" w:eastAsia="方正小标宋简体"/>
          <w:color w:val="000000"/>
          <w:sz w:val="44"/>
        </w:rPr>
        <w:t>》</w:t>
      </w:r>
      <w:r>
        <w:rPr>
          <w:rFonts w:ascii="方正小标宋简体" w:hAnsi="方正小标宋简体" w:cs="宋体;SimSun" w:hint="eastAsia" w:eastAsia="方正小标宋简体"/>
          <w:color w:val="000000"/>
          <w:sz w:val="44"/>
          <w:szCs w:val="36"/>
        </w:rPr>
        <w:t>的决议</w:t>
      </w:r>
    </w:p>
    <w:p>
      <w:pPr>
        <w:pStyle w:val="Normal"/>
        <w:spacing w:lineRule="exact" w:line="680"/>
        <w:jc w:val="center"/>
        <w:rPr>
          <w:rFonts w:ascii="方正小标宋简体" w:hAnsi="方正小标宋简体" w:eastAsia="方正小标宋简体" w:cs="宋体;SimSun" w:hint="eastAsia"/>
          <w:color w:val="000000"/>
          <w:sz w:val="44"/>
          <w:szCs w:val="36"/>
        </w:rPr>
      </w:pPr>
      <w:r>
        <w:rPr>
          <w:rFonts w:eastAsia="方正小标宋简体" w:cs="宋体;SimSun" w:hint="eastAsia" w:ascii="方正小标宋简体" w:hAnsi="方正小标宋简体"/>
          <w:color w:val="000000"/>
          <w:sz w:val="44"/>
          <w:szCs w:val="36"/>
        </w:rPr>
      </w:r>
    </w:p>
    <w:p>
      <w:pPr>
        <w:pStyle w:val="Normal"/>
        <w:jc w:val="center"/>
        <w:rPr/>
      </w:pPr>
      <w:r>
        <w:rPr>
          <w:rFonts w:eastAsia="楷体_GB2312"/>
          <w:color w:val="000000"/>
          <w:szCs w:val="30"/>
        </w:rPr>
        <w:t>（</w:t>
      </w:r>
      <w:r>
        <w:rPr>
          <w:rFonts w:eastAsia="楷体_GB2312"/>
          <w:color w:val="000000"/>
          <w:szCs w:val="30"/>
        </w:rPr>
        <w:t>201</w:t>
      </w:r>
      <w:r>
        <w:rPr>
          <w:rFonts w:eastAsia="楷体_GB2312" w:hint="eastAsia"/>
          <w:color w:val="000000"/>
          <w:szCs w:val="30"/>
        </w:rPr>
        <w:t>9</w:t>
      </w:r>
      <w:r>
        <w:rPr>
          <w:rFonts w:eastAsia="楷体_GB2312"/>
          <w:color w:val="000000"/>
          <w:szCs w:val="30"/>
        </w:rPr>
        <w:t>年</w:t>
      </w:r>
      <w:r>
        <w:rPr>
          <w:rFonts w:eastAsia="楷体_GB2312" w:hint="eastAsia"/>
          <w:color w:val="000000"/>
          <w:szCs w:val="30"/>
        </w:rPr>
        <w:t>7</w:t>
      </w:r>
      <w:r>
        <w:rPr>
          <w:rFonts w:eastAsia="楷体_GB2312"/>
          <w:color w:val="000000"/>
          <w:szCs w:val="30"/>
        </w:rPr>
        <w:t>月</w:t>
      </w:r>
      <w:r>
        <w:rPr>
          <w:rFonts w:eastAsia="楷体_GB2312" w:hint="eastAsia"/>
          <w:color w:val="000000"/>
          <w:szCs w:val="30"/>
        </w:rPr>
        <w:t>26</w:t>
      </w:r>
      <w:r>
        <w:rPr>
          <w:rFonts w:eastAsia="楷体_GB2312"/>
          <w:color w:val="000000"/>
          <w:szCs w:val="30"/>
        </w:rPr>
        <w:t>日安徽省第十</w:t>
      </w:r>
      <w:r>
        <w:rPr>
          <w:rFonts w:hint="eastAsia" w:eastAsia="楷体_GB2312"/>
          <w:color w:val="000000"/>
          <w:szCs w:val="30"/>
        </w:rPr>
        <w:t>三</w:t>
      </w:r>
      <w:r>
        <w:rPr>
          <w:rFonts w:eastAsia="楷体_GB2312"/>
          <w:color w:val="000000"/>
          <w:szCs w:val="30"/>
        </w:rPr>
        <w:t>届人民代表大会</w:t>
      </w:r>
    </w:p>
    <w:p>
      <w:pPr>
        <w:pStyle w:val="Normal"/>
        <w:jc w:val="center"/>
        <w:rPr>
          <w:rFonts w:eastAsia="楷体_GB2312"/>
          <w:color w:val="000000"/>
          <w:szCs w:val="30"/>
        </w:rPr>
      </w:pPr>
      <w:r>
        <w:rPr>
          <w:rFonts w:hint="eastAsia" w:eastAsia="楷体_GB2312"/>
          <w:color w:val="000000"/>
          <w:szCs w:val="30"/>
        </w:rPr>
        <w:t>常务委员会第十一次会议通过）</w:t>
      </w:r>
    </w:p>
    <w:p>
      <w:pPr>
        <w:pStyle w:val="Normal"/>
        <w:jc w:val="center"/>
        <w:rPr>
          <w:rFonts w:eastAsia="楷体_GB2312" w:hint="eastAsia"/>
          <w:color w:val="000000"/>
          <w:szCs w:val="30"/>
        </w:rPr>
      </w:pPr>
      <w:r>
        <w:rPr>
          <w:rFonts w:eastAsia="楷体_GB2312" w:hint="eastAsia"/>
          <w:color w:val="000000"/>
          <w:szCs w:val="30"/>
        </w:rPr>
      </w:r>
    </w:p>
    <w:p>
      <w:pPr>
        <w:pStyle w:val="Normal"/>
        <w:ind w:firstLineChars="200" w:startChars="0" w:start="0" w:endChars="0" w:end="0"/>
        <w:rPr/>
      </w:pPr>
      <w:r>
        <w:rPr>
          <w:rFonts w:ascii="仿宋_GB2312" w:hAnsi="仿宋_GB2312"/>
          <w:color w:val="000000"/>
        </w:rPr>
        <w:t>安徽省第十</w:t>
      </w:r>
      <w:r>
        <w:rPr>
          <w:rFonts w:ascii="仿宋_GB2312" w:hAnsi="仿宋_GB2312" w:hint="eastAsia"/>
          <w:color w:val="000000"/>
        </w:rPr>
        <w:t>三</w:t>
      </w:r>
      <w:r>
        <w:rPr>
          <w:rFonts w:ascii="仿宋_GB2312" w:hAnsi="仿宋_GB2312"/>
          <w:color w:val="000000"/>
        </w:rPr>
        <w:t>届人民代表大会常务委员会第</w:t>
      </w:r>
      <w:r>
        <w:rPr>
          <w:rFonts w:ascii="仿宋_GB2312" w:hAnsi="仿宋_GB2312" w:hint="eastAsia"/>
          <w:color w:val="000000"/>
        </w:rPr>
        <w:t>十一</w:t>
      </w:r>
      <w:r>
        <w:rPr>
          <w:rFonts w:ascii="仿宋_GB2312" w:hAnsi="仿宋_GB2312"/>
          <w:color w:val="000000"/>
        </w:rPr>
        <w:t>次会议审查了</w:t>
      </w:r>
      <w:r>
        <w:rPr>
          <w:rFonts w:ascii="仿宋_GB2312" w:hAnsi="仿宋_GB2312" w:hint="eastAsia"/>
          <w:color w:val="000000"/>
        </w:rPr>
        <w:t>《</w:t>
      </w:r>
      <w:r>
        <w:rPr>
          <w:rFonts w:hint="eastAsia"/>
          <w:color w:val="000000"/>
        </w:rPr>
        <w:t>安庆市花亭湖风景名胜区条例</w:t>
      </w:r>
      <w:r>
        <w:rPr>
          <w:rFonts w:ascii="仿宋_GB2312" w:hAnsi="仿宋_GB2312" w:hint="eastAsia"/>
          <w:color w:val="000000"/>
        </w:rPr>
        <w:t>》</w:t>
      </w:r>
      <w:r>
        <w:rPr>
          <w:rFonts w:ascii="仿宋_GB2312" w:hAnsi="仿宋_GB2312"/>
          <w:color w:val="000000"/>
        </w:rPr>
        <w:t>，决定予以批准，由</w:t>
      </w:r>
      <w:r>
        <w:rPr>
          <w:rFonts w:ascii="仿宋_GB2312" w:hAnsi="仿宋_GB2312" w:hint="eastAsia"/>
          <w:color w:val="000000"/>
        </w:rPr>
        <w:t>安庆</w:t>
      </w:r>
      <w:r>
        <w:rPr>
          <w:rFonts w:ascii="仿宋_GB2312" w:hAnsi="仿宋_GB2312"/>
          <w:color w:val="000000"/>
        </w:rPr>
        <w:t>市人民代表大会常务委员会公布</w:t>
      </w:r>
      <w:r>
        <w:rPr>
          <w:rFonts w:ascii="仿宋_GB2312" w:hAnsi="仿宋_GB2312" w:hint="eastAsia"/>
          <w:color w:val="000000"/>
        </w:rPr>
        <w:t>施行</w:t>
      </w:r>
      <w:r>
        <w:rPr>
          <w:rFonts w:ascii="仿宋_GB2312" w:hAnsi="仿宋_GB2312"/>
          <w:color w:val="000000"/>
        </w:rPr>
        <w:t>。</w:t>
      </w:r>
    </w:p>
    <w:p>
      <w:pPr>
        <w:pStyle w:val="Normal"/>
        <w:widowControl/>
        <w:shd w:fill="FFFFFF" w:val="clear"/>
        <w:rPr>
          <w:rFonts w:ascii="仿宋_GB2312" w:hAnsi="仿宋_GB2312" w:cs="宋体;SimSun" w:hint="eastAsia"/>
          <w:color w:val="000000"/>
        </w:rPr>
      </w:pPr>
      <w:r>
        <w:rPr>
          <w:rFonts w:cs="宋体;SimSun" w:hint="eastAsia" w:ascii="仿宋_GB2312" w:hAnsi="仿宋_GB2312"/>
          <w:color w:val="000000"/>
        </w:rPr>
      </w:r>
    </w:p>
    <w:p>
      <w:pPr>
        <w:pStyle w:val="Normal"/>
        <w:widowControl/>
        <w:shd w:fill="FFFFFF" w:val="clear"/>
        <w:jc w:val="center"/>
        <w:rPr>
          <w:rFonts w:cs="宋体;SimSun"/>
        </w:rPr>
      </w:pPr>
      <w:r>
        <w:rPr>
          <w:rFonts w:cs="宋体;SimSun" w:hint="eastAsia"/>
        </w:rPr>
        <w:t> </w:t>
      </w:r>
      <w:r>
        <w:br w:type="page"/>
      </w:r>
    </w:p>
    <w:p>
      <w:pPr>
        <w:pStyle w:val="Normal"/>
        <w:widowControl/>
        <w:shd w:fill="FFFFFF" w:val="clear"/>
        <w:jc w:val="center"/>
        <w:rPr>
          <w:rFonts w:cs="宋体;SimSun" w:hint="eastAsia"/>
          <w:szCs w:val="21"/>
        </w:rPr>
      </w:pPr>
      <w:r>
        <w:rPr>
          <w:rFonts w:cs="宋体;SimSun" w:hint="eastAsia"/>
          <w:szCs w:val="21"/>
        </w:rPr>
      </w:r>
    </w:p>
    <w:p>
      <w:pPr>
        <w:pStyle w:val="Normal"/>
        <w:widowControl/>
        <w:shd w:fill="FFFFFF" w:val="clear"/>
        <w:spacing w:lineRule="exact" w:line="620"/>
        <w:jc w:val="center"/>
        <w:rPr>
          <w:szCs w:val="21"/>
        </w:rPr>
      </w:pPr>
      <w:r>
        <w:rPr>
          <w:rFonts w:hint="eastAsia" w:eastAsia="方正小标宋简体"/>
          <w:sz w:val="44"/>
          <w:szCs w:val="44"/>
        </w:rPr>
        <w:t>安庆市花亭湖风景名胜区条例</w:t>
      </w:r>
    </w:p>
    <w:p>
      <w:pPr>
        <w:pStyle w:val="Normal"/>
        <w:widowControl/>
        <w:shd w:fill="FFFFFF" w:val="clear"/>
        <w:jc w:val="center"/>
        <w:rPr>
          <w:rFonts w:eastAsia="楷体_GB2312" w:cs="宋体;SimSun" w:hint="eastAsia"/>
          <w:szCs w:val="21"/>
        </w:rPr>
      </w:pPr>
      <w:r>
        <w:rPr>
          <w:rFonts w:eastAsia="楷体_GB2312" w:cs="宋体;SimSun" w:hint="eastAsia"/>
          <w:szCs w:val="21"/>
        </w:rPr>
      </w:r>
    </w:p>
    <w:p>
      <w:pPr>
        <w:pStyle w:val="Normal"/>
        <w:widowControl/>
        <w:shd w:fill="FFFFFF" w:val="clear"/>
        <w:ind w:firstLineChars="200" w:startChars="0" w:start="0" w:endChars="0" w:end="0"/>
        <w:rPr/>
      </w:pPr>
      <w:r>
        <w:rPr>
          <w:rFonts w:cs="宋体;SimSun" w:hint="eastAsia" w:eastAsia="楷体_GB2312"/>
        </w:rPr>
        <w:t>（</w:t>
      </w:r>
      <w:r>
        <w:rPr>
          <w:rFonts w:eastAsia="楷体_GB2312" w:cs="宋体;SimSun" w:hint="eastAsia"/>
        </w:rPr>
        <w:t>2019</w:t>
      </w:r>
      <w:r>
        <w:rPr>
          <w:rFonts w:cs="宋体;SimSun" w:hint="eastAsia" w:eastAsia="楷体_GB2312"/>
        </w:rPr>
        <w:t>年</w:t>
      </w:r>
      <w:r>
        <w:rPr>
          <w:rFonts w:eastAsia="楷体_GB2312" w:cs="宋体;SimSun" w:hint="eastAsia"/>
        </w:rPr>
        <w:t>6</w:t>
      </w:r>
      <w:r>
        <w:rPr>
          <w:rFonts w:cs="宋体;SimSun" w:hint="eastAsia" w:eastAsia="楷体_GB2312"/>
        </w:rPr>
        <w:t>月</w:t>
      </w:r>
      <w:r>
        <w:rPr>
          <w:rFonts w:eastAsia="楷体_GB2312" w:cs="宋体;SimSun" w:hint="eastAsia"/>
        </w:rPr>
        <w:t>26</w:t>
      </w:r>
      <w:r>
        <w:rPr>
          <w:rFonts w:cs="宋体;SimSun" w:hint="eastAsia" w:eastAsia="楷体_GB2312"/>
        </w:rPr>
        <w:t xml:space="preserve">日安庆市第十七届人民代表大会常务委员会第十四次会议通过  </w:t>
      </w:r>
      <w:r>
        <w:rPr>
          <w:rFonts w:eastAsia="楷体_GB2312"/>
          <w:color w:val="000000"/>
          <w:szCs w:val="30"/>
        </w:rPr>
        <w:t>201</w:t>
      </w:r>
      <w:r>
        <w:rPr>
          <w:rFonts w:eastAsia="楷体_GB2312" w:hint="eastAsia"/>
          <w:color w:val="000000"/>
          <w:szCs w:val="30"/>
        </w:rPr>
        <w:t>9</w:t>
      </w:r>
      <w:r>
        <w:rPr>
          <w:rFonts w:eastAsia="楷体_GB2312"/>
          <w:color w:val="000000"/>
          <w:szCs w:val="30"/>
        </w:rPr>
        <w:t>年</w:t>
      </w:r>
      <w:r>
        <w:rPr>
          <w:rFonts w:eastAsia="楷体_GB2312" w:hint="eastAsia"/>
          <w:color w:val="000000"/>
          <w:szCs w:val="30"/>
        </w:rPr>
        <w:t>7</w:t>
      </w:r>
      <w:r>
        <w:rPr>
          <w:rFonts w:eastAsia="楷体_GB2312"/>
          <w:color w:val="000000"/>
          <w:szCs w:val="30"/>
        </w:rPr>
        <w:t>月</w:t>
      </w:r>
      <w:r>
        <w:rPr>
          <w:rFonts w:eastAsia="楷体_GB2312" w:hint="eastAsia"/>
          <w:color w:val="000000"/>
          <w:szCs w:val="30"/>
        </w:rPr>
        <w:t>26</w:t>
      </w:r>
      <w:r>
        <w:rPr>
          <w:rFonts w:eastAsia="楷体_GB2312"/>
          <w:color w:val="000000"/>
          <w:szCs w:val="30"/>
        </w:rPr>
        <w:t>日安徽省第十</w:t>
      </w:r>
      <w:r>
        <w:rPr>
          <w:rFonts w:hint="eastAsia" w:eastAsia="楷体_GB2312"/>
          <w:color w:val="000000"/>
          <w:szCs w:val="30"/>
        </w:rPr>
        <w:t>三</w:t>
      </w:r>
      <w:r>
        <w:rPr>
          <w:rFonts w:eastAsia="楷体_GB2312"/>
          <w:color w:val="000000"/>
          <w:szCs w:val="30"/>
        </w:rPr>
        <w:t>届人民代表大会</w:t>
      </w:r>
      <w:r>
        <w:rPr>
          <w:rFonts w:hint="eastAsia" w:eastAsia="楷体_GB2312"/>
          <w:color w:val="000000"/>
          <w:szCs w:val="30"/>
        </w:rPr>
        <w:t>常务委员会第十一次会议批准</w:t>
      </w:r>
      <w:r>
        <w:rPr>
          <w:rFonts w:cs="宋体;SimSun" w:hint="eastAsia" w:eastAsia="楷体_GB2312"/>
        </w:rPr>
        <w:t>）</w:t>
      </w:r>
    </w:p>
    <w:p>
      <w:pPr>
        <w:pStyle w:val="Normal"/>
        <w:shd w:fill="FFFFFF" w:val="clear"/>
        <w:jc w:val="center"/>
        <w:rPr>
          <w:szCs w:val="21"/>
        </w:rPr>
      </w:pPr>
      <w:r>
        <w:rPr>
          <w:rFonts w:cs="宋体;SimSun" w:hint="eastAsia"/>
        </w:rPr>
        <w:t> </w:t>
      </w:r>
    </w:p>
    <w:p>
      <w:pPr>
        <w:pStyle w:val="Normal"/>
        <w:shd w:fill="FFFFFF" w:val="clear"/>
        <w:jc w:val="center"/>
        <w:rPr>
          <w:rFonts w:ascii="楷体_GB2312" w:hAnsi="楷体_GB2312" w:eastAsia="楷体_GB2312" w:cs="黑体;SimHei" w:hint="eastAsia"/>
        </w:rPr>
      </w:pPr>
      <w:r>
        <w:rPr>
          <w:rFonts w:ascii="楷体_GB2312" w:hAnsi="楷体_GB2312" w:cs="黑体;SimHei" w:hint="eastAsia" w:eastAsia="楷体_GB2312"/>
        </w:rPr>
        <w:t>目    录</w:t>
      </w:r>
    </w:p>
    <w:p>
      <w:pPr>
        <w:pStyle w:val="Normal"/>
        <w:shd w:fill="FFFFFF" w:val="clear"/>
        <w:jc w:val="center"/>
        <w:rPr>
          <w:rFonts w:ascii="楷体_GB2312" w:hAnsi="楷体_GB2312" w:eastAsia="楷体_GB2312" w:cs="黑体;SimHei" w:hint="eastAsia"/>
        </w:rPr>
      </w:pPr>
      <w:r>
        <w:rPr>
          <w:rFonts w:eastAsia="楷体_GB2312" w:cs="黑体;SimHei" w:hint="eastAsia" w:ascii="楷体_GB2312" w:hAnsi="楷体_GB2312"/>
        </w:rPr>
      </w:r>
    </w:p>
    <w:p>
      <w:pPr>
        <w:pStyle w:val="Normal"/>
        <w:shd w:fill="FFFFFF" w:val="clear"/>
        <w:ind w:firstLineChars="200" w:startChars="0" w:start="0" w:endChars="0" w:end="0"/>
        <w:rPr>
          <w:rFonts w:ascii="楷体_GB2312" w:hAnsi="楷体_GB2312" w:eastAsia="楷体_GB2312" w:hint="eastAsia"/>
          <w:szCs w:val="21"/>
        </w:rPr>
      </w:pPr>
      <w:r>
        <w:rPr>
          <w:rFonts w:ascii="楷体_GB2312" w:hAnsi="楷体_GB2312" w:cs="黑体;SimHei" w:hint="eastAsia" w:eastAsia="楷体_GB2312"/>
        </w:rPr>
        <w:t>第一章</w:t>
      </w:r>
      <w:r>
        <w:rPr>
          <w:rFonts w:cs="宋体;SimSun" w:hint="eastAsia" w:eastAsia="楷体_GB2312"/>
        </w:rPr>
        <w:t xml:space="preserve">   </w:t>
      </w:r>
      <w:r>
        <w:rPr>
          <w:rFonts w:ascii="楷体_GB2312" w:hAnsi="楷体_GB2312" w:cs="黑体;SimHei" w:hint="eastAsia" w:eastAsia="楷体_GB2312"/>
        </w:rPr>
        <w:t>总</w:t>
      </w:r>
      <w:r>
        <w:rPr>
          <w:rFonts w:cs="宋体;SimSun" w:hint="eastAsia" w:eastAsia="楷体_GB2312"/>
        </w:rPr>
        <w:t xml:space="preserve">    </w:t>
      </w:r>
      <w:r>
        <w:rPr>
          <w:rFonts w:ascii="楷体_GB2312" w:hAnsi="楷体_GB2312" w:cs="黑体;SimHei" w:hint="eastAsia" w:eastAsia="楷体_GB2312"/>
        </w:rPr>
        <w:t>则</w:t>
      </w:r>
    </w:p>
    <w:p>
      <w:pPr>
        <w:pStyle w:val="Normal"/>
        <w:shd w:fill="FFFFFF" w:val="clear"/>
        <w:ind w:firstLineChars="200" w:startChars="0" w:start="0" w:endChars="0" w:end="0"/>
        <w:rPr>
          <w:rFonts w:ascii="楷体_GB2312" w:hAnsi="楷体_GB2312" w:eastAsia="楷体_GB2312" w:hint="eastAsia"/>
          <w:szCs w:val="21"/>
        </w:rPr>
      </w:pPr>
      <w:r>
        <w:rPr>
          <w:rFonts w:ascii="楷体_GB2312" w:hAnsi="楷体_GB2312" w:cs="黑体;SimHei" w:hint="eastAsia" w:eastAsia="楷体_GB2312"/>
        </w:rPr>
        <w:t>第二章</w:t>
      </w:r>
      <w:r>
        <w:rPr>
          <w:rFonts w:cs="宋体;SimSun" w:hint="eastAsia" w:eastAsia="楷体_GB2312"/>
        </w:rPr>
        <w:t xml:space="preserve">   </w:t>
      </w:r>
      <w:r>
        <w:rPr>
          <w:rFonts w:ascii="楷体_GB2312" w:hAnsi="楷体_GB2312" w:cs="黑体;SimHei" w:hint="eastAsia" w:eastAsia="楷体_GB2312"/>
        </w:rPr>
        <w:t>规划与建设管理</w:t>
      </w:r>
    </w:p>
    <w:p>
      <w:pPr>
        <w:pStyle w:val="Normal"/>
        <w:shd w:fill="FFFFFF" w:val="clear"/>
        <w:ind w:firstLineChars="200" w:startChars="0" w:start="0" w:endChars="0" w:end="0"/>
        <w:rPr>
          <w:rFonts w:ascii="楷体_GB2312" w:hAnsi="楷体_GB2312" w:eastAsia="楷体_GB2312" w:hint="eastAsia"/>
          <w:szCs w:val="21"/>
        </w:rPr>
      </w:pPr>
      <w:r>
        <w:rPr>
          <w:rFonts w:ascii="楷体_GB2312" w:hAnsi="楷体_GB2312" w:cs="黑体;SimHei" w:hint="eastAsia" w:eastAsia="楷体_GB2312"/>
        </w:rPr>
        <w:t>第三章</w:t>
      </w:r>
      <w:r>
        <w:rPr>
          <w:rFonts w:cs="宋体;SimSun" w:hint="eastAsia" w:eastAsia="楷体_GB2312"/>
        </w:rPr>
        <w:t xml:space="preserve">   </w:t>
      </w:r>
      <w:r>
        <w:rPr>
          <w:rFonts w:ascii="楷体_GB2312" w:hAnsi="楷体_GB2312" w:cs="黑体;SimHei" w:hint="eastAsia" w:eastAsia="楷体_GB2312"/>
        </w:rPr>
        <w:t>资源与生态保护</w:t>
      </w:r>
    </w:p>
    <w:p>
      <w:pPr>
        <w:pStyle w:val="Normal"/>
        <w:shd w:fill="FFFFFF" w:val="clear"/>
        <w:ind w:firstLineChars="200" w:startChars="0" w:start="0" w:endChars="0" w:end="0"/>
        <w:rPr>
          <w:rFonts w:ascii="楷体_GB2312" w:hAnsi="楷体_GB2312" w:eastAsia="楷体_GB2312" w:hint="eastAsia"/>
          <w:szCs w:val="21"/>
        </w:rPr>
      </w:pPr>
      <w:r>
        <w:rPr>
          <w:rFonts w:ascii="楷体_GB2312" w:hAnsi="楷体_GB2312" w:cs="黑体;SimHei" w:hint="eastAsia" w:eastAsia="楷体_GB2312"/>
        </w:rPr>
        <w:t>第四章</w:t>
      </w:r>
      <w:r>
        <w:rPr>
          <w:rFonts w:cs="宋体;SimSun" w:hint="eastAsia" w:eastAsia="楷体_GB2312"/>
        </w:rPr>
        <w:t xml:space="preserve">   </w:t>
      </w:r>
      <w:r>
        <w:rPr>
          <w:rFonts w:ascii="楷体_GB2312" w:hAnsi="楷体_GB2312" w:cs="黑体;SimHei" w:hint="eastAsia" w:eastAsia="楷体_GB2312"/>
        </w:rPr>
        <w:t>旅游与服务管理</w:t>
      </w:r>
    </w:p>
    <w:p>
      <w:pPr>
        <w:pStyle w:val="Normal"/>
        <w:shd w:fill="FFFFFF" w:val="clear"/>
        <w:ind w:firstLineChars="200" w:startChars="0" w:start="0" w:endChars="0" w:end="0"/>
        <w:rPr>
          <w:rFonts w:ascii="楷体_GB2312" w:hAnsi="楷体_GB2312" w:eastAsia="楷体_GB2312" w:hint="eastAsia"/>
          <w:szCs w:val="21"/>
        </w:rPr>
      </w:pPr>
      <w:r>
        <w:rPr>
          <w:rFonts w:ascii="楷体_GB2312" w:hAnsi="楷体_GB2312" w:cs="黑体;SimHei" w:hint="eastAsia" w:eastAsia="楷体_GB2312"/>
        </w:rPr>
        <w:t>第五章</w:t>
      </w:r>
      <w:r>
        <w:rPr>
          <w:rFonts w:cs="宋体;SimSun" w:hint="eastAsia" w:eastAsia="楷体_GB2312"/>
        </w:rPr>
        <w:t>   </w:t>
      </w:r>
      <w:r>
        <w:rPr>
          <w:rFonts w:ascii="楷体_GB2312" w:hAnsi="楷体_GB2312" w:cs="黑体;SimHei" w:hint="eastAsia" w:eastAsia="楷体_GB2312"/>
        </w:rPr>
        <w:t>法律责任</w:t>
      </w:r>
    </w:p>
    <w:p>
      <w:pPr>
        <w:pStyle w:val="Normal"/>
        <w:shd w:fill="FFFFFF" w:val="clear"/>
        <w:ind w:firstLineChars="200" w:startChars="0" w:start="0" w:endChars="0" w:end="0"/>
        <w:rPr>
          <w:rFonts w:ascii="楷体_GB2312" w:hAnsi="楷体_GB2312" w:eastAsia="楷体_GB2312" w:hint="eastAsia"/>
          <w:szCs w:val="21"/>
        </w:rPr>
      </w:pPr>
      <w:r>
        <w:rPr>
          <w:rFonts w:ascii="楷体_GB2312" w:hAnsi="楷体_GB2312" w:cs="黑体;SimHei" w:hint="eastAsia" w:eastAsia="楷体_GB2312"/>
        </w:rPr>
        <w:t>第六章</w:t>
      </w:r>
      <w:r>
        <w:rPr>
          <w:rFonts w:cs="宋体;SimSun" w:hint="eastAsia" w:eastAsia="楷体_GB2312"/>
        </w:rPr>
        <w:t xml:space="preserve">   </w:t>
      </w:r>
      <w:r>
        <w:rPr>
          <w:rFonts w:ascii="楷体_GB2312" w:hAnsi="楷体_GB2312" w:cs="黑体;SimHei" w:hint="eastAsia" w:eastAsia="楷体_GB2312"/>
        </w:rPr>
        <w:t>附</w:t>
      </w:r>
      <w:r>
        <w:rPr>
          <w:rFonts w:cs="宋体;SimSun" w:hint="eastAsia" w:eastAsia="楷体_GB2312"/>
        </w:rPr>
        <w:t xml:space="preserve">    </w:t>
      </w:r>
      <w:r>
        <w:rPr>
          <w:rFonts w:ascii="楷体_GB2312" w:hAnsi="楷体_GB2312" w:cs="黑体;SimHei" w:hint="eastAsia" w:eastAsia="楷体_GB2312"/>
        </w:rPr>
        <w:t>则</w:t>
      </w:r>
    </w:p>
    <w:p>
      <w:pPr>
        <w:pStyle w:val="Normal"/>
        <w:widowControl/>
        <w:shd w:fill="FFFFFF" w:val="clear"/>
        <w:jc w:val="center"/>
        <w:rPr>
          <w:szCs w:val="21"/>
        </w:rPr>
      </w:pPr>
      <w:r>
        <w:rPr>
          <w:rFonts w:cs="宋体;SimSun" w:hint="eastAsia"/>
        </w:rPr>
        <w:t> </w:t>
      </w:r>
    </w:p>
    <w:p>
      <w:pPr>
        <w:pStyle w:val="Normal"/>
        <w:widowControl/>
        <w:shd w:fill="FFFFFF" w:val="clear"/>
        <w:jc w:val="center"/>
        <w:rPr>
          <w:rFonts w:eastAsia="黑体;SimHei" w:hint="eastAsia"/>
        </w:rPr>
      </w:pPr>
      <w:r>
        <w:rPr>
          <w:rFonts w:cs="黑体;SimHei" w:hint="eastAsia" w:eastAsia="黑体;SimHei"/>
        </w:rPr>
        <w:t>第一章</w:t>
      </w:r>
      <w:r>
        <w:rPr>
          <w:rFonts w:cs="宋体;SimSun" w:hint="eastAsia" w:eastAsia="黑体;SimHei"/>
        </w:rPr>
        <w:t xml:space="preserve">  </w:t>
      </w:r>
      <w:r>
        <w:rPr>
          <w:rFonts w:cs="黑体;SimHei" w:hint="eastAsia" w:eastAsia="黑体;SimHei"/>
        </w:rPr>
        <w:t>总</w:t>
      </w:r>
      <w:r>
        <w:rPr>
          <w:rFonts w:cs="宋体;SimSun" w:hint="eastAsia" w:eastAsia="黑体;SimHei"/>
        </w:rPr>
        <w:t xml:space="preserve">    </w:t>
      </w:r>
      <w:r>
        <w:rPr>
          <w:rFonts w:cs="黑体;SimHei" w:hint="eastAsia" w:eastAsia="黑体;SimHei"/>
        </w:rPr>
        <w:t>则</w:t>
      </w:r>
    </w:p>
    <w:p>
      <w:pPr>
        <w:pStyle w:val="Normal"/>
        <w:widowControl/>
        <w:shd w:fill="FFFFFF" w:val="clear"/>
        <w:jc w:val="center"/>
        <w:rPr>
          <w:rFonts w:eastAsia="黑体;SimHei" w:hint="eastAsia"/>
          <w:szCs w:val="21"/>
        </w:rPr>
      </w:pPr>
      <w:r>
        <w:rPr>
          <w:rFonts w:eastAsia="黑体;SimHei" w:hint="eastAsia"/>
          <w:szCs w:val="21"/>
        </w:rPr>
      </w:r>
    </w:p>
    <w:p>
      <w:pPr>
        <w:pStyle w:val="Normal"/>
        <w:shd w:fill="FFFFFF" w:val="clear"/>
        <w:ind w:firstLine="640" w:end="0"/>
        <w:rPr>
          <w:rFonts w:hint="eastAsia"/>
          <w:szCs w:val="21"/>
        </w:rPr>
      </w:pPr>
      <w:r>
        <w:rPr>
          <w:rFonts w:ascii="黑体;SimHei" w:hAnsi="黑体;SimHei" w:hint="eastAsia" w:eastAsia="黑体;SimHei"/>
        </w:rPr>
        <w:t>第一条</w:t>
      </w:r>
      <w:r>
        <w:rPr>
          <w:rFonts w:cs="宋体;SimSun" w:hint="eastAsia"/>
        </w:rPr>
        <w:t xml:space="preserve">  </w:t>
      </w:r>
      <w:r>
        <w:rPr>
          <w:rFonts w:hint="eastAsia"/>
        </w:rPr>
        <w:t>为了加强花亭湖风景名胜区（以下简称风景区）的管理，</w:t>
      </w:r>
      <w:r>
        <w:rPr>
          <w:rFonts w:hint="eastAsia"/>
          <w:shd w:fill="FFFFFF" w:val="clear"/>
        </w:rPr>
        <w:t>有效保护和合理利用风景名胜资源，</w:t>
      </w:r>
      <w:r>
        <w:rPr>
          <w:rFonts w:hint="eastAsia"/>
        </w:rPr>
        <w:t>根据</w:t>
      </w:r>
      <w:r>
        <w:rPr>
          <w:rFonts w:hint="eastAsia"/>
          <w:shd w:fill="FFFFFF" w:val="clear"/>
        </w:rPr>
        <w:t>国务院《风景名胜区条例》和</w:t>
      </w:r>
      <w:r>
        <w:rPr>
          <w:rFonts w:hint="eastAsia"/>
        </w:rPr>
        <w:t>有关法律、行政法规，结合花亭湖风景名胜区实际，制定本条例。</w:t>
      </w:r>
    </w:p>
    <w:p>
      <w:pPr>
        <w:pStyle w:val="Normal"/>
        <w:shd w:fill="FFFFFF" w:val="clear"/>
        <w:ind w:firstLine="640" w:end="0"/>
        <w:rPr>
          <w:rFonts w:hint="eastAsia"/>
          <w:szCs w:val="21"/>
        </w:rPr>
      </w:pPr>
      <w:r>
        <w:rPr>
          <w:rFonts w:ascii="黑体;SimHei" w:hAnsi="黑体;SimHei" w:hint="eastAsia" w:eastAsia="黑体;SimHei"/>
        </w:rPr>
        <w:t>第二条</w:t>
      </w:r>
      <w:r>
        <w:rPr>
          <w:rFonts w:cs="宋体;SimSun" w:hint="eastAsia"/>
        </w:rPr>
        <w:t xml:space="preserve">  </w:t>
      </w:r>
      <w:r>
        <w:rPr>
          <w:rFonts w:hint="eastAsia"/>
        </w:rPr>
        <w:t>本条例适用于花亭湖风景名胜区的规划、保护、利用和管理。</w:t>
      </w:r>
    </w:p>
    <w:p>
      <w:pPr>
        <w:pStyle w:val="Normal"/>
        <w:shd w:fill="FFFFFF" w:val="clear"/>
        <w:ind w:firstLine="640" w:end="0"/>
        <w:rPr/>
      </w:pPr>
      <w:r>
        <w:rPr>
          <w:rFonts w:ascii="黑体;SimHei" w:hAnsi="黑体;SimHei" w:hint="eastAsia" w:eastAsia="黑体;SimHei"/>
        </w:rPr>
        <w:t>第三条</w:t>
      </w:r>
      <w:r>
        <w:rPr>
          <w:rFonts w:cs="宋体;SimSun" w:hint="eastAsia"/>
        </w:rPr>
        <w:t xml:space="preserve">  </w:t>
      </w:r>
      <w:r>
        <w:rPr>
          <w:rFonts w:hint="eastAsia"/>
        </w:rPr>
        <w:t>风景区范围按照国务院批准的《花亭湖风景名胜区总体规划》划定，设立标界。</w:t>
      </w:r>
    </w:p>
    <w:p>
      <w:pPr>
        <w:pStyle w:val="Normal"/>
        <w:shd w:fill="FFFFFF" w:val="clear"/>
        <w:ind w:firstLine="640" w:end="0"/>
        <w:rPr>
          <w:rFonts w:hint="eastAsia"/>
        </w:rPr>
      </w:pPr>
      <w:r>
        <w:rPr>
          <w:rFonts w:hint="eastAsia"/>
        </w:rPr>
        <w:t>根据保护风景名胜资源和生态环境的需要，风景区划分为核心景区、湖面保护培育区和游赏景点。</w:t>
      </w:r>
    </w:p>
    <w:p>
      <w:pPr>
        <w:pStyle w:val="Normal"/>
        <w:shd w:fill="FFFFFF" w:val="clear"/>
        <w:ind w:firstLine="640" w:end="0"/>
        <w:rPr>
          <w:rFonts w:hint="eastAsia"/>
        </w:rPr>
      </w:pPr>
      <w:r>
        <w:rPr>
          <w:rFonts w:hint="eastAsia"/>
        </w:rPr>
        <w:t>核心景区包括：佛图寺景区、二祖禅堂景区、西风禅寺景区、龙山景区、海会寺景区、狮子岩景区、花亭湖大坝景区等。</w:t>
      </w:r>
    </w:p>
    <w:p>
      <w:pPr>
        <w:pStyle w:val="Normal"/>
        <w:shd w:fill="FFFFFF" w:val="clear"/>
        <w:ind w:firstLine="640" w:end="0"/>
        <w:rPr>
          <w:rFonts w:hint="eastAsia"/>
        </w:rPr>
      </w:pPr>
      <w:r>
        <w:rPr>
          <w:rFonts w:hint="eastAsia"/>
        </w:rPr>
        <w:t>湖面保护培育区包括：湖面水体、湖岸景观保护带、湖滨生态培育区和湖滨生态休闲区。其中，湖面水体属于严格保护区域；湖岸景观保护带和湖滨生态培育区属于禁止建设区域；湖滨生态休闲区属于可以依法建设区域。具体范围按照国务院批准的《花亭湖风景名胜区总体规划》划定并公布。</w:t>
      </w:r>
    </w:p>
    <w:p>
      <w:pPr>
        <w:pStyle w:val="Normal"/>
        <w:shd w:fill="FFFFFF" w:val="clear"/>
        <w:ind w:firstLine="640" w:end="0"/>
        <w:rPr>
          <w:rFonts w:hint="eastAsia"/>
        </w:rPr>
      </w:pPr>
      <w:r>
        <w:rPr>
          <w:rFonts w:hint="eastAsia"/>
        </w:rPr>
        <w:t>游赏景点包括：赵朴初文化公园和汤湾温泉疗养基地等。</w:t>
      </w:r>
    </w:p>
    <w:p>
      <w:pPr>
        <w:pStyle w:val="Normal"/>
        <w:shd w:fill="FFFFFF" w:val="clear"/>
        <w:ind w:firstLine="640" w:end="0"/>
        <w:rPr>
          <w:rFonts w:hint="eastAsia"/>
          <w:szCs w:val="21"/>
        </w:rPr>
      </w:pPr>
      <w:r>
        <w:rPr>
          <w:rFonts w:ascii="黑体;SimHei" w:hAnsi="黑体;SimHei" w:hint="eastAsia" w:eastAsia="黑体;SimHei"/>
        </w:rPr>
        <w:t>第四条</w:t>
      </w:r>
      <w:r>
        <w:rPr>
          <w:rFonts w:cs="宋体;SimSun" w:hint="eastAsia"/>
          <w:shd w:fill="FFFFFF" w:val="clear"/>
        </w:rPr>
        <w:t xml:space="preserve">  </w:t>
      </w:r>
      <w:r>
        <w:rPr>
          <w:rFonts w:hint="eastAsia"/>
          <w:shd w:fill="FFFFFF" w:val="clear"/>
        </w:rPr>
        <w:t>风景区管理实行严格保护、科学规划、统一管理、绿色发展、永续利用的原则。</w:t>
      </w:r>
    </w:p>
    <w:p>
      <w:pPr>
        <w:pStyle w:val="Normal"/>
        <w:shd w:fill="FFFFFF" w:val="clear"/>
        <w:ind w:firstLine="640" w:end="0"/>
        <w:rPr>
          <w:rFonts w:hint="eastAsia"/>
          <w:szCs w:val="21"/>
        </w:rPr>
      </w:pPr>
      <w:r>
        <w:rPr>
          <w:rFonts w:ascii="黑体;SimHei" w:hAnsi="黑体;SimHei" w:hint="eastAsia" w:eastAsia="黑体;SimHei"/>
        </w:rPr>
        <w:t>第五条</w:t>
      </w:r>
      <w:r>
        <w:rPr>
          <w:rFonts w:cs="宋体;SimSun" w:hint="eastAsia"/>
        </w:rPr>
        <w:t xml:space="preserve">  </w:t>
      </w:r>
      <w:r>
        <w:rPr>
          <w:rFonts w:hint="eastAsia"/>
          <w:shd w:fill="FFFFFF" w:val="clear"/>
        </w:rPr>
        <w:t>安庆市人</w:t>
      </w:r>
      <w:r>
        <w:rPr>
          <w:rFonts w:hint="eastAsia"/>
        </w:rPr>
        <w:t>民政府、太湖县人民政</w:t>
      </w:r>
      <w:r>
        <w:rPr>
          <w:rFonts w:hint="eastAsia"/>
          <w:shd w:fill="FFFFFF" w:val="clear"/>
        </w:rPr>
        <w:t>府应当加强对风景区保护和管理工作的领导，将风景区的保护和建设分别纳入本级国民经济和社会发展规划。</w:t>
      </w:r>
    </w:p>
    <w:p>
      <w:pPr>
        <w:pStyle w:val="Normal"/>
        <w:shd w:fill="FFFFFF" w:val="clear"/>
        <w:ind w:firstLine="640" w:end="0"/>
        <w:rPr>
          <w:rFonts w:hint="eastAsia"/>
          <w:szCs w:val="21"/>
        </w:rPr>
      </w:pPr>
      <w:r>
        <w:rPr>
          <w:rFonts w:ascii="黑体;SimHei" w:hAnsi="黑体;SimHei" w:hint="eastAsia" w:eastAsia="黑体;SimHei"/>
        </w:rPr>
        <w:t>第六条</w:t>
      </w:r>
      <w:r>
        <w:rPr>
          <w:rFonts w:cs="宋体;SimSun" w:hint="eastAsia"/>
        </w:rPr>
        <w:t xml:space="preserve">  太湖县人民政府</w:t>
      </w:r>
      <w:r>
        <w:rPr>
          <w:rFonts w:hint="eastAsia"/>
        </w:rPr>
        <w:t>设立的花亭湖风景名胜区管理机构（以下简称风景区管理机构）负责风景区的保护、利用和统一管理工作。其主要职责是：</w:t>
      </w:r>
    </w:p>
    <w:p>
      <w:pPr>
        <w:pStyle w:val="Normal"/>
        <w:shd w:fill="FFFFFF" w:val="clear"/>
        <w:ind w:firstLine="640" w:end="0"/>
        <w:rPr>
          <w:rFonts w:hint="eastAsia"/>
        </w:rPr>
      </w:pPr>
      <w:r>
        <w:rPr>
          <w:rFonts w:hint="eastAsia"/>
        </w:rPr>
        <w:t>（一）参与编制并负责组织实施花亭湖风景名胜区总体规划和详细规划；</w:t>
      </w:r>
    </w:p>
    <w:p>
      <w:pPr>
        <w:pStyle w:val="Normal"/>
        <w:shd w:fill="FFFFFF" w:val="clear"/>
        <w:ind w:firstLine="640" w:end="0"/>
        <w:rPr>
          <w:rFonts w:hint="eastAsia"/>
        </w:rPr>
      </w:pPr>
      <w:r>
        <w:rPr>
          <w:rFonts w:hint="eastAsia"/>
        </w:rPr>
        <w:t>（二）负责花亭湖风景名胜资源保护；</w:t>
      </w:r>
    </w:p>
    <w:p>
      <w:pPr>
        <w:pStyle w:val="Normal"/>
        <w:shd w:fill="FFFFFF" w:val="clear"/>
        <w:ind w:firstLine="640" w:end="0"/>
        <w:rPr>
          <w:rFonts w:hint="eastAsia"/>
        </w:rPr>
      </w:pPr>
      <w:r>
        <w:rPr>
          <w:rFonts w:hint="eastAsia"/>
        </w:rPr>
        <w:t>（三）合理开发、科学利用花亭湖风景名胜资源；负责风景区旅游事业发展；</w:t>
      </w:r>
    </w:p>
    <w:p>
      <w:pPr>
        <w:pStyle w:val="Normal"/>
        <w:shd w:fill="FFFFFF" w:val="clear"/>
        <w:ind w:firstLine="640" w:end="0"/>
        <w:rPr/>
      </w:pPr>
      <w:r>
        <w:rPr>
          <w:rFonts w:hint="eastAsia"/>
        </w:rPr>
        <w:t>（四）负责风景区内与风景名胜有关的建设项目和活动的管理工作；管理和维护与风景名胜保护有关的基础设施、旅游设施以及其他公共设施；</w:t>
      </w:r>
    </w:p>
    <w:p>
      <w:pPr>
        <w:pStyle w:val="Normal"/>
        <w:shd w:fill="FFFFFF" w:val="clear"/>
        <w:ind w:firstLine="640" w:end="0"/>
        <w:rPr>
          <w:rFonts w:hint="eastAsia"/>
        </w:rPr>
      </w:pPr>
      <w:r>
        <w:rPr>
          <w:rFonts w:hint="eastAsia"/>
        </w:rPr>
        <w:t>（五）依法受相关行政主管部门委托行使部分行政处罚权；</w:t>
      </w:r>
    </w:p>
    <w:p>
      <w:pPr>
        <w:pStyle w:val="Normal"/>
        <w:shd w:fill="FFFFFF" w:val="clear"/>
        <w:ind w:firstLine="640" w:end="0"/>
        <w:rPr>
          <w:rFonts w:hint="eastAsia"/>
          <w:szCs w:val="21"/>
        </w:rPr>
      </w:pPr>
      <w:r>
        <w:rPr>
          <w:rFonts w:hint="eastAsia"/>
        </w:rPr>
        <w:t>（六）太湖县人民政府依法授予的其他职责。</w:t>
      </w:r>
    </w:p>
    <w:p>
      <w:pPr>
        <w:pStyle w:val="Normal"/>
        <w:shd w:fill="FFFFFF" w:val="clear"/>
        <w:ind w:firstLine="640" w:end="0"/>
        <w:rPr>
          <w:rFonts w:hint="eastAsia"/>
        </w:rPr>
      </w:pPr>
      <w:r>
        <w:rPr>
          <w:rFonts w:hint="eastAsia"/>
        </w:rPr>
        <w:t>安庆市人民政府、太湖县人民政府相关部门应当按照各自职责做好风景区保护、管理和监督的有关工作。</w:t>
      </w:r>
    </w:p>
    <w:p>
      <w:pPr>
        <w:pStyle w:val="Normal"/>
        <w:shd w:fill="FFFFFF" w:val="clear"/>
        <w:ind w:firstLine="640" w:end="0"/>
        <w:rPr>
          <w:rFonts w:hint="eastAsia"/>
          <w:szCs w:val="21"/>
        </w:rPr>
      </w:pPr>
      <w:r>
        <w:rPr>
          <w:rFonts w:ascii="黑体;SimHei" w:hAnsi="黑体;SimHei" w:hint="eastAsia" w:eastAsia="黑体;SimHei"/>
        </w:rPr>
        <w:t>第七条</w:t>
      </w:r>
      <w:r>
        <w:rPr>
          <w:rFonts w:cs="宋体;SimSun" w:hint="eastAsia"/>
        </w:rPr>
        <w:t xml:space="preserve">  </w:t>
      </w:r>
      <w:r>
        <w:rPr>
          <w:rFonts w:hint="eastAsia"/>
          <w:shd w:fill="FFFFFF" w:val="clear"/>
        </w:rPr>
        <w:t>风景区所在地的乡（镇）人民政府应当按照各自职责做好风景区风景名胜资源的管理和保护工作。</w:t>
      </w:r>
    </w:p>
    <w:p>
      <w:pPr>
        <w:pStyle w:val="Normal"/>
        <w:shd w:fill="FFFFFF" w:val="clear"/>
        <w:ind w:firstLine="632" w:end="0"/>
        <w:rPr>
          <w:rFonts w:hint="eastAsia"/>
          <w:szCs w:val="21"/>
        </w:rPr>
      </w:pPr>
      <w:r>
        <w:rPr>
          <w:rFonts w:ascii="黑体;SimHei" w:hAnsi="黑体;SimHei" w:hint="eastAsia" w:eastAsia="黑体;SimHei"/>
        </w:rPr>
        <w:t>第八条</w:t>
      </w:r>
      <w:r>
        <w:rPr>
          <w:rFonts w:cs="宋体;SimSun" w:hint="eastAsia"/>
        </w:rPr>
        <w:t xml:space="preserve">  </w:t>
      </w:r>
      <w:r>
        <w:rPr>
          <w:rFonts w:hint="eastAsia"/>
        </w:rPr>
        <w:t>经依法批准，风景区管理机构可以设立综合执法机构，相对集中行使行政处罚权。</w:t>
      </w:r>
    </w:p>
    <w:p>
      <w:pPr>
        <w:pStyle w:val="Normal"/>
        <w:ind w:firstLineChars="200" w:startChars="0" w:start="0" w:endChars="0" w:end="0"/>
        <w:rPr/>
      </w:pPr>
      <w:r>
        <w:rPr>
          <w:rFonts w:ascii="黑体;SimHei" w:hAnsi="黑体;SimHei" w:hint="eastAsia" w:eastAsia="黑体;SimHei"/>
        </w:rPr>
        <w:t>第九条</w:t>
      </w:r>
      <w:r>
        <w:rPr>
          <w:rFonts w:cs="宋体;SimSun" w:hint="eastAsia"/>
        </w:rPr>
        <w:t xml:space="preserve">  </w:t>
      </w:r>
      <w:r>
        <w:rPr>
          <w:rFonts w:hint="eastAsia"/>
        </w:rPr>
        <w:t>设立花亭湖风景名胜资源保护资金。保护资金可以通过财政、社会资助、门票收入和风景名胜资源有偿使用费等渠道筹集，专项用于风景区的保护和管理以及风景区内财产的所有权人、使用权人损失的补偿。具体筹集办法和使用范围由太湖县人民政府依法按照国家有关规定另行制定。</w:t>
      </w:r>
    </w:p>
    <w:p>
      <w:pPr>
        <w:pStyle w:val="Normal"/>
        <w:shd w:fill="FFFFFF" w:val="clear"/>
        <w:ind w:firstLine="640" w:end="0"/>
        <w:rPr>
          <w:rFonts w:hint="eastAsia"/>
          <w:szCs w:val="21"/>
        </w:rPr>
      </w:pPr>
      <w:r>
        <w:rPr>
          <w:rFonts w:ascii="黑体;SimHei" w:hAnsi="黑体;SimHei" w:hint="eastAsia" w:eastAsia="黑体;SimHei"/>
        </w:rPr>
        <w:t>第十条</w:t>
      </w:r>
      <w:r>
        <w:rPr>
          <w:rFonts w:hint="eastAsia"/>
        </w:rPr>
        <w:t xml:space="preserve">  任何单位和个人都有保护风景名胜资源的义务，有权制止、检举破坏风景名胜资源的行为。</w:t>
      </w:r>
    </w:p>
    <w:p>
      <w:pPr>
        <w:pStyle w:val="Normal"/>
        <w:shd w:fill="FFFFFF" w:val="clear"/>
        <w:jc w:val="center"/>
        <w:rPr>
          <w:rFonts w:hint="eastAsia"/>
          <w:szCs w:val="21"/>
        </w:rPr>
      </w:pPr>
      <w:r>
        <w:rPr>
          <w:rFonts w:cs="宋体;SimSun" w:hint="eastAsia"/>
        </w:rPr>
        <w:t> </w:t>
      </w:r>
    </w:p>
    <w:p>
      <w:pPr>
        <w:pStyle w:val="Normal"/>
        <w:shd w:fill="FFFFFF" w:val="clear"/>
        <w:jc w:val="center"/>
        <w:rPr>
          <w:rFonts w:eastAsia="黑体;SimHei" w:hint="eastAsia"/>
        </w:rPr>
      </w:pPr>
      <w:r>
        <w:rPr>
          <w:rFonts w:cs="黑体;SimHei" w:hint="eastAsia" w:eastAsia="黑体;SimHei"/>
        </w:rPr>
        <w:t>第二章</w:t>
      </w:r>
      <w:r>
        <w:rPr>
          <w:rFonts w:hint="eastAsia" w:eastAsia="黑体;SimHei"/>
        </w:rPr>
        <w:t xml:space="preserve">  </w:t>
      </w:r>
      <w:r>
        <w:rPr>
          <w:rFonts w:cs="黑体;SimHei" w:hint="eastAsia" w:eastAsia="黑体;SimHei"/>
        </w:rPr>
        <w:t>规划与建设管理</w:t>
      </w:r>
    </w:p>
    <w:p>
      <w:pPr>
        <w:pStyle w:val="Normal"/>
        <w:shd w:fill="FFFFFF" w:val="clear"/>
        <w:jc w:val="center"/>
        <w:rPr>
          <w:rFonts w:eastAsia="黑体;SimHei" w:hint="eastAsia"/>
          <w:szCs w:val="21"/>
        </w:rPr>
      </w:pPr>
      <w:r>
        <w:rPr>
          <w:rFonts w:eastAsia="黑体;SimHei" w:hint="eastAsia"/>
          <w:szCs w:val="21"/>
        </w:rPr>
      </w:r>
    </w:p>
    <w:p>
      <w:pPr>
        <w:pStyle w:val="Normal"/>
        <w:shd w:fill="FFFFFF" w:val="clear"/>
        <w:ind w:firstLine="640" w:end="0"/>
        <w:rPr>
          <w:rFonts w:hint="eastAsia"/>
          <w:szCs w:val="21"/>
        </w:rPr>
      </w:pPr>
      <w:r>
        <w:rPr>
          <w:rFonts w:ascii="黑体;SimHei" w:hAnsi="黑体;SimHei" w:hint="eastAsia" w:eastAsia="黑体;SimHei"/>
        </w:rPr>
        <w:t>第十一条</w:t>
      </w:r>
      <w:r>
        <w:rPr>
          <w:rFonts w:cs="宋体;SimSun" w:hint="eastAsia"/>
        </w:rPr>
        <w:t xml:space="preserve">  </w:t>
      </w:r>
      <w:r>
        <w:rPr>
          <w:rFonts w:hint="eastAsia"/>
        </w:rPr>
        <w:t>花亭湖风景名胜区总体规划和详细规划是风景区建设、保护、利用和管理的依据，应当严格执行，不得擅自修改；确需修改的，应当依照法定程序报请批准或者备案。</w:t>
      </w:r>
    </w:p>
    <w:p>
      <w:pPr>
        <w:pStyle w:val="Normal"/>
        <w:shd w:fill="FFFFFF" w:val="clear"/>
        <w:ind w:firstLine="640" w:end="0"/>
        <w:rPr>
          <w:rFonts w:hint="eastAsia"/>
          <w:szCs w:val="21"/>
        </w:rPr>
      </w:pPr>
      <w:r>
        <w:rPr>
          <w:rFonts w:hint="eastAsia"/>
        </w:rPr>
        <w:t>根据总体规划，风景区管理机构协助编制各核心景区、湖面保护培育区</w:t>
      </w:r>
      <w:r>
        <w:rPr>
          <w:rFonts w:hint="eastAsia"/>
          <w:shd w:fill="FFFFFF" w:val="clear"/>
        </w:rPr>
        <w:t>、游赏景点</w:t>
      </w:r>
      <w:r>
        <w:rPr>
          <w:rFonts w:hint="eastAsia"/>
        </w:rPr>
        <w:t>的详细规划和各专项规划。</w:t>
      </w:r>
    </w:p>
    <w:p>
      <w:pPr>
        <w:pStyle w:val="Normal"/>
        <w:shd w:fill="FFFFFF" w:val="clear"/>
        <w:ind w:firstLine="640" w:end="0"/>
        <w:rPr>
          <w:rFonts w:hint="eastAsia"/>
        </w:rPr>
      </w:pPr>
      <w:r>
        <w:rPr>
          <w:rFonts w:hint="eastAsia"/>
        </w:rPr>
        <w:t>风景区内的镇规划、乡规划和村庄社区规划应当与风景区总体规划相协调。</w:t>
      </w:r>
    </w:p>
    <w:p>
      <w:pPr>
        <w:pStyle w:val="Normal"/>
        <w:shd w:fill="FFFFFF" w:val="clear"/>
        <w:ind w:firstLine="640" w:end="0"/>
        <w:rPr>
          <w:rFonts w:hint="eastAsia"/>
          <w:szCs w:val="21"/>
        </w:rPr>
      </w:pPr>
      <w:r>
        <w:rPr>
          <w:rFonts w:ascii="黑体;SimHei" w:hAnsi="黑体;SimHei" w:hint="eastAsia" w:eastAsia="黑体;SimHei"/>
        </w:rPr>
        <w:t>第十二条</w:t>
      </w:r>
      <w:r>
        <w:rPr>
          <w:rFonts w:cs="宋体;SimSun" w:hint="eastAsia"/>
        </w:rPr>
        <w:t xml:space="preserve">  </w:t>
      </w:r>
      <w:r>
        <w:rPr>
          <w:rFonts w:hint="eastAsia"/>
        </w:rPr>
        <w:t>风景区管理机构根据风景区总体规划和详细规划组织实施相关项目，保护和合理利用风景名胜资源。</w:t>
      </w:r>
    </w:p>
    <w:p>
      <w:pPr>
        <w:pStyle w:val="Normal"/>
        <w:shd w:fill="FFFFFF" w:val="clear"/>
        <w:ind w:firstLine="640" w:end="0"/>
        <w:rPr>
          <w:rFonts w:hint="eastAsia"/>
          <w:szCs w:val="21"/>
        </w:rPr>
      </w:pPr>
      <w:r>
        <w:rPr>
          <w:rFonts w:ascii="黑体;SimHei" w:hAnsi="黑体;SimHei" w:hint="eastAsia" w:eastAsia="黑体;SimHei"/>
        </w:rPr>
        <w:t>第十三条</w:t>
      </w:r>
      <w:r>
        <w:rPr>
          <w:rFonts w:hint="eastAsia"/>
          <w:b/>
        </w:rPr>
        <w:t xml:space="preserve">  </w:t>
      </w:r>
      <w:r>
        <w:rPr>
          <w:rFonts w:hint="eastAsia"/>
        </w:rPr>
        <w:t>禁止违反风景区规划，在风景区内设立各类开发区和在核心景区内建设宾馆、招待所、培训中心、疗养院以及与风景名胜资源保护无关的其他建（构）筑物；已经建设的，应当按照风景区规划，逐步迁出。</w:t>
      </w:r>
    </w:p>
    <w:p>
      <w:pPr>
        <w:pStyle w:val="Normal"/>
        <w:shd w:fill="FFFFFF" w:val="clear"/>
        <w:ind w:firstLine="640" w:end="0"/>
        <w:rPr>
          <w:rFonts w:hint="eastAsia"/>
          <w:szCs w:val="21"/>
        </w:rPr>
      </w:pPr>
      <w:r>
        <w:rPr>
          <w:rFonts w:hint="eastAsia"/>
        </w:rPr>
        <w:t>风景区内，不得建设污染环境、妨碍游览、破坏视线走廊和自然景观的建（构）筑物以及其他设施。</w:t>
      </w:r>
    </w:p>
    <w:p>
      <w:pPr>
        <w:pStyle w:val="Normal"/>
        <w:shd w:fill="FFFFFF" w:val="clear"/>
        <w:ind w:firstLine="640" w:end="0"/>
        <w:rPr>
          <w:rFonts w:hint="eastAsia"/>
          <w:szCs w:val="21"/>
        </w:rPr>
      </w:pPr>
      <w:r>
        <w:rPr>
          <w:rFonts w:ascii="黑体;SimHei" w:hAnsi="黑体;SimHei" w:hint="eastAsia" w:eastAsia="黑体;SimHei"/>
        </w:rPr>
        <w:t>第十四条</w:t>
      </w:r>
      <w:r>
        <w:rPr>
          <w:rFonts w:hint="eastAsia"/>
        </w:rPr>
        <w:t xml:space="preserve">  风景区内现有的污染企业应当依据风景区规划的规定，限期关闭迁出。</w:t>
      </w:r>
    </w:p>
    <w:p>
      <w:pPr>
        <w:pStyle w:val="Normal"/>
        <w:shd w:fill="FFFFFF" w:val="clear"/>
        <w:ind w:firstLine="640" w:end="0"/>
        <w:rPr>
          <w:rFonts w:hint="eastAsia"/>
        </w:rPr>
      </w:pPr>
      <w:r>
        <w:rPr>
          <w:rFonts w:hint="eastAsia"/>
        </w:rPr>
        <w:t>风景区内建设项目应当依法进行环境影响评价。需要建设防治污染设施的，应当与主体工程同时设计、同时施工、同时投产使用。</w:t>
      </w:r>
    </w:p>
    <w:p>
      <w:pPr>
        <w:pStyle w:val="Normal"/>
        <w:shd w:fill="FFFFFF" w:val="clear"/>
        <w:ind w:firstLine="640" w:end="0"/>
        <w:rPr>
          <w:rFonts w:hint="eastAsia"/>
          <w:szCs w:val="21"/>
        </w:rPr>
      </w:pPr>
      <w:r>
        <w:rPr>
          <w:rFonts w:ascii="黑体;SimHei" w:hAnsi="黑体;SimHei" w:hint="eastAsia" w:eastAsia="黑体;SimHei"/>
        </w:rPr>
        <w:t>第十五条</w:t>
      </w:r>
      <w:r>
        <w:rPr>
          <w:rFonts w:cs="宋体;SimSun" w:hint="eastAsia"/>
        </w:rPr>
        <w:t xml:space="preserve">  </w:t>
      </w:r>
      <w:r>
        <w:rPr>
          <w:rFonts w:hint="eastAsia"/>
        </w:rPr>
        <w:t>风景区内建（构）筑物的布局、高度、体量、造型、风格和色调，应当与周围环境相协调。</w:t>
      </w:r>
    </w:p>
    <w:p>
      <w:pPr>
        <w:pStyle w:val="Normal"/>
        <w:shd w:fill="FFFFFF" w:val="clear"/>
        <w:jc w:val="center"/>
        <w:rPr>
          <w:rFonts w:eastAsia="黑体;SimHei" w:hint="eastAsia"/>
          <w:szCs w:val="21"/>
        </w:rPr>
      </w:pPr>
      <w:r>
        <w:rPr>
          <w:rFonts w:eastAsia="黑体;SimHei" w:cs="宋体;SimSun" w:hint="eastAsia"/>
        </w:rPr>
        <w:t> </w:t>
      </w:r>
    </w:p>
    <w:p>
      <w:pPr>
        <w:pStyle w:val="Normal"/>
        <w:shd w:fill="FFFFFF" w:val="clear"/>
        <w:jc w:val="center"/>
        <w:rPr>
          <w:rFonts w:eastAsia="黑体;SimHei" w:hint="eastAsia"/>
        </w:rPr>
      </w:pPr>
      <w:r>
        <w:rPr>
          <w:rFonts w:cs="黑体;SimHei" w:hint="eastAsia" w:eastAsia="黑体;SimHei"/>
        </w:rPr>
        <w:t>第三章</w:t>
      </w:r>
      <w:r>
        <w:rPr>
          <w:rFonts w:cs="宋体;SimSun" w:hint="eastAsia" w:eastAsia="黑体;SimHei"/>
        </w:rPr>
        <w:t xml:space="preserve">  </w:t>
      </w:r>
      <w:r>
        <w:rPr>
          <w:rFonts w:cs="黑体;SimHei" w:hint="eastAsia" w:eastAsia="黑体;SimHei"/>
        </w:rPr>
        <w:t>资源与生态保护</w:t>
      </w:r>
    </w:p>
    <w:p>
      <w:pPr>
        <w:pStyle w:val="Normal"/>
        <w:shd w:fill="FFFFFF" w:val="clear"/>
        <w:jc w:val="center"/>
        <w:rPr>
          <w:rFonts w:eastAsia="黑体;SimHei" w:hint="eastAsia"/>
        </w:rPr>
      </w:pPr>
      <w:r>
        <w:rPr>
          <w:rFonts w:eastAsia="黑体;SimHei" w:hint="eastAsia"/>
        </w:rPr>
      </w:r>
    </w:p>
    <w:p>
      <w:pPr>
        <w:pStyle w:val="Normal"/>
        <w:shd w:fill="FFFFFF" w:val="clear"/>
        <w:ind w:firstLine="640" w:end="0"/>
        <w:rPr/>
      </w:pPr>
      <w:r>
        <w:rPr>
          <w:rFonts w:ascii="黑体;SimHei" w:hAnsi="黑体;SimHei" w:hint="eastAsia" w:eastAsia="黑体;SimHei"/>
        </w:rPr>
        <w:t>第十六条</w:t>
      </w:r>
      <w:r>
        <w:rPr>
          <w:rFonts w:cs="宋体;SimSun" w:hint="eastAsia"/>
        </w:rPr>
        <w:t xml:space="preserve">  </w:t>
      </w:r>
      <w:r>
        <w:rPr>
          <w:rFonts w:hint="eastAsia"/>
        </w:rPr>
        <w:t>风景区内的水体、地形地貌等自然景观和野生动植物资源，以及园林建筑、文物古迹、历史遗址等人文景观及其所处的环境，均属于风景名胜资源，应当依法予以保护。</w:t>
      </w:r>
    </w:p>
    <w:p>
      <w:pPr>
        <w:pStyle w:val="Normal"/>
        <w:shd w:fill="FFFFFF" w:val="clear"/>
        <w:ind w:firstLine="640" w:end="0"/>
        <w:rPr>
          <w:rFonts w:hint="eastAsia"/>
          <w:szCs w:val="21"/>
        </w:rPr>
      </w:pPr>
      <w:r>
        <w:rPr>
          <w:rFonts w:hint="eastAsia"/>
        </w:rPr>
        <w:t>风景区内的单位、居民和进入风景区的其他人员都应当遵守风景区的管理规定，爱护自然景观、人文景观和公共设施。</w:t>
      </w:r>
    </w:p>
    <w:p>
      <w:pPr>
        <w:pStyle w:val="Normal"/>
        <w:shd w:fill="FFFFFF" w:val="clear"/>
        <w:ind w:firstLine="640" w:end="0"/>
        <w:rPr>
          <w:rFonts w:hint="eastAsia"/>
          <w:szCs w:val="21"/>
        </w:rPr>
      </w:pPr>
      <w:r>
        <w:rPr>
          <w:rFonts w:ascii="黑体;SimHei" w:hAnsi="黑体;SimHei" w:hint="eastAsia" w:eastAsia="黑体;SimHei"/>
        </w:rPr>
        <w:t>第十七条</w:t>
      </w:r>
      <w:r>
        <w:rPr>
          <w:rFonts w:hint="eastAsia"/>
        </w:rPr>
        <w:t xml:space="preserve">  风景区管理机构应当健全风景名胜资源和设施保护制度，制定保护措施，落实保护责任。</w:t>
      </w:r>
    </w:p>
    <w:p>
      <w:pPr>
        <w:pStyle w:val="Normal"/>
        <w:shd w:fill="FFFFFF" w:val="clear"/>
        <w:ind w:firstLine="640" w:end="0"/>
        <w:rPr>
          <w:rFonts w:hint="eastAsia"/>
          <w:spacing w:val="-4"/>
          <w:szCs w:val="21"/>
        </w:rPr>
      </w:pPr>
      <w:r>
        <w:rPr>
          <w:rFonts w:ascii="黑体;SimHei" w:hAnsi="黑体;SimHei" w:hint="eastAsia" w:eastAsia="黑体;SimHei"/>
        </w:rPr>
        <w:t>第十八条</w:t>
      </w:r>
      <w:r>
        <w:rPr>
          <w:rFonts w:hint="eastAsia"/>
        </w:rPr>
        <w:t xml:space="preserve">  风景区管理机构应当按照风景区规划要求，保护</w:t>
      </w:r>
      <w:r>
        <w:rPr>
          <w:rFonts w:hint="eastAsia"/>
          <w:spacing w:val="-4"/>
        </w:rPr>
        <w:t>和合理利用风景名胜资源，完善交通、服务设施和游览条件，统一布点风景区内的经营服务网点和公共设施，并与周围景观相协调。</w:t>
      </w:r>
    </w:p>
    <w:p>
      <w:pPr>
        <w:pStyle w:val="Normal"/>
        <w:shd w:fill="FFFFFF" w:val="clear"/>
        <w:ind w:firstLine="640" w:end="0"/>
        <w:rPr>
          <w:rFonts w:cs="宋体;SimSun" w:hint="eastAsia"/>
        </w:rPr>
      </w:pPr>
      <w:r>
        <w:rPr>
          <w:rFonts w:ascii="黑体;SimHei" w:hAnsi="黑体;SimHei" w:hint="eastAsia" w:eastAsia="黑体;SimHei"/>
        </w:rPr>
        <w:t>第十九条</w:t>
      </w:r>
      <w:r>
        <w:rPr>
          <w:rFonts w:cs="宋体;SimSun" w:hint="eastAsia"/>
        </w:rPr>
        <w:t xml:space="preserve">  风景名胜区内的建设项目应当符合风景名胜区规划，并与景观相协调，不得破坏景观、污染环境、妨碍游览。</w:t>
      </w:r>
    </w:p>
    <w:p>
      <w:pPr>
        <w:pStyle w:val="Normal"/>
        <w:shd w:fill="FFFFFF" w:val="clear"/>
        <w:ind w:firstLine="640" w:end="0"/>
        <w:rPr>
          <w:rFonts w:hint="eastAsia"/>
          <w:szCs w:val="21"/>
        </w:rPr>
      </w:pPr>
      <w:r>
        <w:rPr>
          <w:rFonts w:hint="eastAsia"/>
        </w:rPr>
        <w:t>在风景区内进行建设等活动的单位和个人，应当制定污染防治和水土保持方案，服从风景区管理机构和有关部门的监督管理，采取有效措施保护周围景物、水体、植被、野生动物资源、地形地貌和人文景观以及公共设施；建设活动结束后，应当及时清理场地，恢复环境原貌。</w:t>
      </w:r>
    </w:p>
    <w:p>
      <w:pPr>
        <w:pStyle w:val="Normal"/>
        <w:shd w:fill="FFFFFF" w:val="clear"/>
        <w:ind w:firstLine="640" w:end="0"/>
        <w:rPr>
          <w:rFonts w:hint="eastAsia"/>
          <w:szCs w:val="21"/>
        </w:rPr>
      </w:pPr>
      <w:r>
        <w:rPr>
          <w:rFonts w:ascii="黑体;SimHei" w:hAnsi="黑体;SimHei" w:hint="eastAsia" w:eastAsia="黑体;SimHei"/>
        </w:rPr>
        <w:t>第二十条</w:t>
      </w:r>
      <w:r>
        <w:rPr>
          <w:rFonts w:hint="eastAsia"/>
          <w:b/>
        </w:rPr>
        <w:t xml:space="preserve">  </w:t>
      </w:r>
      <w:r>
        <w:rPr>
          <w:rFonts w:hint="eastAsia"/>
        </w:rPr>
        <w:t>在风景区内禁止进行下列活动：</w:t>
      </w:r>
    </w:p>
    <w:p>
      <w:pPr>
        <w:pStyle w:val="Normal"/>
        <w:shd w:fill="FFFFFF" w:val="clear"/>
        <w:ind w:firstLine="640" w:end="0"/>
        <w:rPr>
          <w:rFonts w:hint="eastAsia"/>
          <w:szCs w:val="21"/>
        </w:rPr>
      </w:pPr>
      <w:r>
        <w:rPr>
          <w:rFonts w:hint="eastAsia"/>
        </w:rPr>
        <w:t>（一）开山、采石、开矿、开荒、烧砖瓦、烧石灰、修坟立碑或者损毁园林建筑、雕塑等破坏景观、植被和地形地貌的活动；</w:t>
      </w:r>
    </w:p>
    <w:p>
      <w:pPr>
        <w:pStyle w:val="Normal"/>
        <w:shd w:fill="FFFFFF" w:val="clear"/>
        <w:ind w:firstLine="640" w:end="0"/>
        <w:rPr>
          <w:rFonts w:hint="eastAsia"/>
          <w:szCs w:val="21"/>
        </w:rPr>
      </w:pPr>
      <w:r>
        <w:rPr>
          <w:rFonts w:hint="eastAsia"/>
        </w:rPr>
        <w:t>（二）修建储存爆炸性、易燃性、放射性、毒害性、腐蚀性物品的设施；</w:t>
      </w:r>
    </w:p>
    <w:p>
      <w:pPr>
        <w:pStyle w:val="Normal"/>
        <w:shd w:fill="FFFFFF" w:val="clear"/>
        <w:ind w:firstLine="640" w:end="0"/>
        <w:rPr>
          <w:rFonts w:hint="eastAsia"/>
          <w:szCs w:val="21"/>
        </w:rPr>
      </w:pPr>
      <w:r>
        <w:rPr>
          <w:rFonts w:hint="eastAsia"/>
        </w:rPr>
        <w:t>（三）向水体排放、倾倒未经处理或者处理后未达标的污水；排放有毒有害气体或者倾倒其他污染物；</w:t>
      </w:r>
    </w:p>
    <w:p>
      <w:pPr>
        <w:pStyle w:val="Normal"/>
        <w:shd w:fill="FFFFFF" w:val="clear"/>
        <w:ind w:firstLine="640" w:end="0"/>
        <w:rPr>
          <w:rFonts w:hint="eastAsia"/>
          <w:szCs w:val="21"/>
        </w:rPr>
      </w:pPr>
      <w:r>
        <w:rPr>
          <w:rFonts w:hint="eastAsia"/>
        </w:rPr>
        <w:t>（四）倾倒建筑垃圾、工程渣土；</w:t>
      </w:r>
    </w:p>
    <w:p>
      <w:pPr>
        <w:pStyle w:val="Normal"/>
        <w:shd w:fill="FFFFFF" w:val="clear"/>
        <w:ind w:firstLine="640" w:end="0"/>
        <w:rPr>
          <w:rFonts w:hint="eastAsia"/>
          <w:szCs w:val="21"/>
        </w:rPr>
      </w:pPr>
      <w:r>
        <w:rPr>
          <w:rFonts w:hint="eastAsia"/>
        </w:rPr>
        <w:t>（五）在道路、水上运输易飘洒散装货物不作包扎、覆盖；</w:t>
      </w:r>
    </w:p>
    <w:p>
      <w:pPr>
        <w:pStyle w:val="Normal"/>
        <w:shd w:fill="FFFFFF" w:val="clear"/>
        <w:ind w:firstLine="640" w:end="0"/>
        <w:rPr>
          <w:rFonts w:hint="eastAsia"/>
          <w:szCs w:val="21"/>
        </w:rPr>
      </w:pPr>
      <w:r>
        <w:rPr>
          <w:rFonts w:hint="eastAsia"/>
        </w:rPr>
        <w:t>（六）在景物、设施上刻划、涂污；</w:t>
      </w:r>
    </w:p>
    <w:p>
      <w:pPr>
        <w:pStyle w:val="Normal"/>
        <w:shd w:fill="FFFFFF" w:val="clear"/>
        <w:ind w:firstLine="640" w:end="0"/>
        <w:rPr>
          <w:rFonts w:hint="eastAsia"/>
          <w:szCs w:val="21"/>
        </w:rPr>
      </w:pPr>
      <w:r>
        <w:rPr>
          <w:rFonts w:hint="eastAsia"/>
        </w:rPr>
        <w:t>（七）乱扔垃圾；</w:t>
      </w:r>
    </w:p>
    <w:p>
      <w:pPr>
        <w:pStyle w:val="Normal"/>
        <w:shd w:fill="FFFFFF" w:val="clear"/>
        <w:ind w:firstLine="640" w:end="0"/>
        <w:rPr>
          <w:rFonts w:hint="eastAsia"/>
          <w:szCs w:val="21"/>
        </w:rPr>
      </w:pPr>
      <w:r>
        <w:rPr>
          <w:rFonts w:hint="eastAsia"/>
        </w:rPr>
        <w:t>（八）损毁标界、标牌、座椅、垃圾箱等公共设施；</w:t>
      </w:r>
    </w:p>
    <w:p>
      <w:pPr>
        <w:pStyle w:val="Normal"/>
        <w:shd w:fill="FFFFFF" w:val="clear"/>
        <w:ind w:firstLine="640" w:end="0"/>
        <w:rPr>
          <w:rFonts w:hint="eastAsia"/>
          <w:szCs w:val="21"/>
        </w:rPr>
      </w:pPr>
      <w:r>
        <w:rPr>
          <w:rFonts w:hint="eastAsia"/>
        </w:rPr>
        <w:t>（九）攀折林木，损坏绿地，擅自采摘采挖野生花果、药材等；</w:t>
      </w:r>
    </w:p>
    <w:p>
      <w:pPr>
        <w:pStyle w:val="Normal"/>
        <w:shd w:fill="FFFFFF" w:val="clear"/>
        <w:ind w:firstLine="640" w:end="0"/>
        <w:rPr>
          <w:rFonts w:hint="eastAsia"/>
        </w:rPr>
      </w:pPr>
      <w:r>
        <w:rPr>
          <w:rFonts w:hint="eastAsia"/>
        </w:rPr>
        <w:t>（十）在非指定区域吸烟、烧香燃烛；</w:t>
      </w:r>
    </w:p>
    <w:p>
      <w:pPr>
        <w:pStyle w:val="Normal"/>
        <w:shd w:fill="FFFFFF" w:val="clear"/>
        <w:ind w:firstLine="640" w:end="0"/>
        <w:rPr>
          <w:rFonts w:hint="eastAsia"/>
        </w:rPr>
      </w:pPr>
      <w:r>
        <w:rPr>
          <w:rFonts w:hint="eastAsia"/>
        </w:rPr>
        <w:t>（十一）捕猎野生动物，破坏水生植物；</w:t>
      </w:r>
    </w:p>
    <w:p>
      <w:pPr>
        <w:pStyle w:val="Normal"/>
        <w:shd w:fill="FFFFFF" w:val="clear"/>
        <w:ind w:firstLine="640" w:end="0"/>
        <w:rPr>
          <w:rFonts w:hint="eastAsia"/>
        </w:rPr>
      </w:pPr>
      <w:r>
        <w:rPr>
          <w:rFonts w:hint="eastAsia"/>
        </w:rPr>
        <w:t>（十二）在风景区内的航道、码头附近水域游泳、垂钓；</w:t>
      </w:r>
    </w:p>
    <w:p>
      <w:pPr>
        <w:pStyle w:val="Normal"/>
        <w:shd w:fill="FFFFFF" w:val="clear"/>
        <w:ind w:firstLine="640" w:end="0"/>
        <w:rPr>
          <w:rFonts w:hint="eastAsia"/>
        </w:rPr>
      </w:pPr>
      <w:r>
        <w:rPr>
          <w:rFonts w:hint="eastAsia"/>
        </w:rPr>
        <w:t>（十三）法律法规禁止的其他破坏风景名胜资源和公共设施的行为。</w:t>
      </w:r>
    </w:p>
    <w:p>
      <w:pPr>
        <w:pStyle w:val="Normal"/>
        <w:shd w:fill="FFFFFF" w:val="clear"/>
        <w:ind w:firstLine="640" w:end="0"/>
        <w:rPr>
          <w:rFonts w:hint="eastAsia"/>
          <w:szCs w:val="21"/>
        </w:rPr>
      </w:pPr>
      <w:r>
        <w:rPr>
          <w:rFonts w:ascii="黑体;SimHei" w:hAnsi="黑体;SimHei" w:hint="eastAsia" w:eastAsia="黑体;SimHei"/>
        </w:rPr>
        <w:t>第二十一条</w:t>
      </w:r>
      <w:r>
        <w:rPr>
          <w:rFonts w:hint="eastAsia"/>
          <w:b/>
        </w:rPr>
        <w:t xml:space="preserve">  </w:t>
      </w:r>
      <w:r>
        <w:rPr>
          <w:rFonts w:hint="eastAsia"/>
        </w:rPr>
        <w:t>在风景区内进行下列活动，应当经风景区管理机构审核后，依照有关法律、法规的规定报有关主管部门批准：</w:t>
      </w:r>
    </w:p>
    <w:p>
      <w:pPr>
        <w:pStyle w:val="Normal"/>
        <w:shd w:fill="FFFFFF" w:val="clear"/>
        <w:ind w:firstLine="640" w:end="0"/>
        <w:rPr>
          <w:rFonts w:hint="eastAsia"/>
          <w:szCs w:val="21"/>
        </w:rPr>
      </w:pPr>
      <w:r>
        <w:rPr>
          <w:rFonts w:hint="eastAsia"/>
        </w:rPr>
        <w:t>（一）设置、张贴商业广告；</w:t>
      </w:r>
    </w:p>
    <w:p>
      <w:pPr>
        <w:pStyle w:val="Normal"/>
        <w:shd w:fill="FFFFFF" w:val="clear"/>
        <w:ind w:firstLine="640" w:end="0"/>
        <w:rPr>
          <w:rFonts w:hint="eastAsia"/>
          <w:szCs w:val="21"/>
        </w:rPr>
      </w:pPr>
      <w:r>
        <w:rPr>
          <w:rFonts w:hint="eastAsia"/>
        </w:rPr>
        <w:t>（二）举办大型游乐等活动；</w:t>
      </w:r>
    </w:p>
    <w:p>
      <w:pPr>
        <w:pStyle w:val="Normal"/>
        <w:shd w:fill="FFFFFF" w:val="clear"/>
        <w:ind w:firstLine="640" w:end="0"/>
        <w:rPr>
          <w:rFonts w:hint="eastAsia"/>
          <w:szCs w:val="21"/>
        </w:rPr>
      </w:pPr>
      <w:r>
        <w:rPr>
          <w:rFonts w:hint="eastAsia"/>
        </w:rPr>
        <w:t>（三）</w:t>
      </w:r>
      <w:r>
        <w:rPr>
          <w:rFonts w:hint="eastAsia"/>
          <w:shd w:fill="FFFFFF" w:val="clear"/>
        </w:rPr>
        <w:t>在水体设置拦网、</w:t>
      </w:r>
      <w:r>
        <w:rPr>
          <w:rFonts w:hint="eastAsia"/>
        </w:rPr>
        <w:t>浮漂等设施；</w:t>
      </w:r>
    </w:p>
    <w:p>
      <w:pPr>
        <w:pStyle w:val="Normal"/>
        <w:shd w:fill="FFFFFF" w:val="clear"/>
        <w:ind w:firstLine="640" w:end="0"/>
        <w:rPr>
          <w:rFonts w:hint="eastAsia"/>
          <w:szCs w:val="21"/>
        </w:rPr>
      </w:pPr>
      <w:r>
        <w:rPr>
          <w:rFonts w:hint="eastAsia"/>
        </w:rPr>
        <w:t>（四）专业养殖；引进、投放外来物种；</w:t>
      </w:r>
    </w:p>
    <w:p>
      <w:pPr>
        <w:pStyle w:val="Normal"/>
        <w:shd w:fill="FFFFFF" w:val="clear"/>
        <w:ind w:firstLine="640" w:end="0"/>
        <w:rPr>
          <w:rFonts w:hint="eastAsia"/>
        </w:rPr>
      </w:pPr>
      <w:r>
        <w:rPr>
          <w:rFonts w:hint="eastAsia"/>
        </w:rPr>
        <w:t>（五）改变水资源、水环境自然状态的活动；</w:t>
      </w:r>
    </w:p>
    <w:p>
      <w:pPr>
        <w:pStyle w:val="Normal"/>
        <w:shd w:fill="FFFFFF" w:val="clear"/>
        <w:ind w:firstLine="640" w:end="0"/>
        <w:rPr>
          <w:rFonts w:hint="eastAsia"/>
          <w:szCs w:val="21"/>
        </w:rPr>
      </w:pPr>
      <w:r>
        <w:rPr>
          <w:rFonts w:hint="eastAsia"/>
        </w:rPr>
        <w:t>（六）其他影响生态和景观的活动。</w:t>
      </w:r>
    </w:p>
    <w:p>
      <w:pPr>
        <w:pStyle w:val="Normal"/>
        <w:shd w:fill="FFFFFF" w:val="clear"/>
        <w:ind w:firstLine="640" w:end="0"/>
        <w:rPr/>
      </w:pPr>
      <w:r>
        <w:rPr>
          <w:rFonts w:ascii="黑体;SimHei" w:hAnsi="黑体;SimHei" w:hint="eastAsia" w:eastAsia="黑体;SimHei"/>
        </w:rPr>
        <w:t>第二十二条</w:t>
      </w:r>
      <w:r>
        <w:rPr>
          <w:rFonts w:hint="eastAsia"/>
        </w:rPr>
        <w:t xml:space="preserve">  </w:t>
      </w:r>
      <w:r>
        <w:rPr/>
        <w:t>在风景区内从事</w:t>
      </w:r>
      <w:r>
        <w:rPr>
          <w:rFonts w:hint="eastAsia"/>
        </w:rPr>
        <w:t>本</w:t>
      </w:r>
      <w:r>
        <w:rPr/>
        <w:t>条例第十</w:t>
      </w:r>
      <w:r>
        <w:rPr>
          <w:rFonts w:hint="eastAsia"/>
        </w:rPr>
        <w:t>三</w:t>
      </w:r>
      <w:r>
        <w:rPr/>
        <w:t>条、第二十条禁止范围以外的建设活动，应当经</w:t>
      </w:r>
      <w:r>
        <w:rPr>
          <w:rFonts w:hint="eastAsia"/>
        </w:rPr>
        <w:t>风景区管理机构审核同意后，依照有关法律、法规的规定办理审批手续。</w:t>
      </w:r>
    </w:p>
    <w:p>
      <w:pPr>
        <w:pStyle w:val="Normal"/>
        <w:shd w:fill="FFFFFF" w:val="clear"/>
        <w:ind w:firstLine="660" w:end="0"/>
        <w:rPr>
          <w:rFonts w:hint="eastAsia"/>
          <w:szCs w:val="21"/>
        </w:rPr>
      </w:pPr>
      <w:r>
        <w:rPr>
          <w:rFonts w:ascii="黑体;SimHei" w:hAnsi="黑体;SimHei" w:hint="eastAsia" w:eastAsia="黑体;SimHei"/>
        </w:rPr>
        <w:t>第二十三条</w:t>
      </w:r>
      <w:r>
        <w:rPr>
          <w:rFonts w:hint="eastAsia"/>
          <w:b/>
        </w:rPr>
        <w:t xml:space="preserve">  </w:t>
      </w:r>
      <w:r>
        <w:rPr>
          <w:rFonts w:hint="eastAsia"/>
        </w:rPr>
        <w:t>在风景区内设置店面招牌、标识标牌、电子显示屏，安装太阳能、遮阳棚、遮雨棚、空调外机、油烟机、排气扇（管），张贴宣传品等，应当符合风景区管理机构的统一规范。</w:t>
      </w:r>
    </w:p>
    <w:p>
      <w:pPr>
        <w:pStyle w:val="Normal"/>
        <w:shd w:fill="FFFFFF" w:val="clear"/>
        <w:ind w:firstLine="640" w:end="0"/>
        <w:rPr>
          <w:rFonts w:hint="eastAsia"/>
          <w:szCs w:val="21"/>
        </w:rPr>
      </w:pPr>
      <w:r>
        <w:rPr>
          <w:rFonts w:ascii="黑体;SimHei" w:hAnsi="黑体;SimHei" w:hint="eastAsia" w:eastAsia="黑体;SimHei"/>
        </w:rPr>
        <w:t>第二十四条</w:t>
      </w:r>
      <w:r>
        <w:rPr>
          <w:rFonts w:cs="宋体;SimSun" w:hint="eastAsia"/>
        </w:rPr>
        <w:t xml:space="preserve">  </w:t>
      </w:r>
      <w:r>
        <w:rPr>
          <w:rFonts w:hint="eastAsia"/>
        </w:rPr>
        <w:t>风景区内县级以上人民政府有关行政主管部门以及各乡镇人民政府应当依法做好风景区的护林、绿化、防火、防治病虫害以及泥石流、山体滑坡等地质灾害的防治工作，保护野生动植物及其生存的自然环境。</w:t>
      </w:r>
    </w:p>
    <w:p>
      <w:pPr>
        <w:pStyle w:val="Normal"/>
        <w:shd w:fill="FFFFFF" w:val="clear"/>
        <w:ind w:firstLine="640" w:end="0"/>
        <w:rPr>
          <w:rFonts w:hint="eastAsia"/>
          <w:szCs w:val="21"/>
        </w:rPr>
      </w:pPr>
      <w:r>
        <w:rPr>
          <w:rFonts w:hint="eastAsia"/>
        </w:rPr>
        <w:t>风景区管理机构应当会同林业主管部门对风景区内的珍稀古树名木，调查建档，建立古树名木管理责任制，挂牌介绍和保护。风景区内非珍稀林木的抚育、采伐等行为，应当符合花亭湖风景区规划，由林业行政主管部门征求风景区管理机构意见后，依法批准实施。</w:t>
      </w:r>
    </w:p>
    <w:p>
      <w:pPr>
        <w:pStyle w:val="Normal"/>
        <w:shd w:fill="FFFFFF" w:val="clear"/>
        <w:jc w:val="center"/>
        <w:rPr>
          <w:rFonts w:hint="eastAsia"/>
          <w:szCs w:val="21"/>
        </w:rPr>
      </w:pPr>
      <w:r>
        <w:rPr>
          <w:rFonts w:cs="宋体;SimSun" w:hint="eastAsia"/>
        </w:rPr>
        <w:t> </w:t>
      </w:r>
    </w:p>
    <w:p>
      <w:pPr>
        <w:pStyle w:val="Normal"/>
        <w:shd w:fill="FFFFFF" w:val="clear"/>
        <w:jc w:val="center"/>
        <w:rPr>
          <w:rFonts w:eastAsia="黑体;SimHei" w:hint="eastAsia"/>
        </w:rPr>
      </w:pPr>
      <w:r>
        <w:rPr>
          <w:rFonts w:cs="黑体;SimHei" w:hint="eastAsia" w:eastAsia="黑体;SimHei"/>
        </w:rPr>
        <w:t>第四章</w:t>
      </w:r>
      <w:r>
        <w:rPr>
          <w:rFonts w:cs="宋体;SimSun" w:hint="eastAsia" w:eastAsia="黑体;SimHei"/>
        </w:rPr>
        <w:t xml:space="preserve">  </w:t>
      </w:r>
      <w:r>
        <w:rPr>
          <w:rFonts w:cs="黑体;SimHei" w:hint="eastAsia" w:eastAsia="黑体;SimHei"/>
        </w:rPr>
        <w:t>旅游与服务管理</w:t>
      </w:r>
    </w:p>
    <w:p>
      <w:pPr>
        <w:pStyle w:val="Normal"/>
        <w:shd w:fill="FFFFFF" w:val="clear"/>
        <w:jc w:val="center"/>
        <w:rPr>
          <w:rFonts w:eastAsia="黑体;SimHei" w:hint="eastAsia"/>
        </w:rPr>
      </w:pPr>
      <w:r>
        <w:rPr>
          <w:rFonts w:eastAsia="黑体;SimHei" w:hint="eastAsia"/>
        </w:rPr>
      </w:r>
    </w:p>
    <w:p>
      <w:pPr>
        <w:pStyle w:val="Normal"/>
        <w:shd w:fill="FFFFFF" w:val="clear"/>
        <w:ind w:firstLine="640" w:end="0"/>
        <w:rPr>
          <w:rFonts w:hint="eastAsia"/>
          <w:szCs w:val="21"/>
        </w:rPr>
      </w:pPr>
      <w:r>
        <w:rPr>
          <w:rFonts w:ascii="黑体;SimHei" w:hAnsi="黑体;SimHei" w:hint="eastAsia" w:eastAsia="黑体;SimHei"/>
        </w:rPr>
        <w:t>第二十五条</w:t>
      </w:r>
      <w:r>
        <w:rPr>
          <w:rFonts w:cs="宋体;SimSun" w:hint="eastAsia"/>
        </w:rPr>
        <w:t xml:space="preserve">  太湖县</w:t>
      </w:r>
      <w:r>
        <w:rPr>
          <w:rFonts w:hint="eastAsia"/>
        </w:rPr>
        <w:t>人民政府应当依法建立健全风景区安全制度，确保风景区</w:t>
      </w:r>
      <w:r>
        <w:rPr>
          <w:rFonts w:hint="eastAsia"/>
          <w:shd w:fill="FFFFFF" w:val="clear"/>
        </w:rPr>
        <w:t>旅游安全和</w:t>
      </w:r>
      <w:r>
        <w:rPr>
          <w:rFonts w:hint="eastAsia"/>
        </w:rPr>
        <w:t>水上交通运输安全。</w:t>
      </w:r>
    </w:p>
    <w:p>
      <w:pPr>
        <w:pStyle w:val="Normal"/>
        <w:shd w:fill="FFFFFF" w:val="clear"/>
        <w:ind w:firstLine="640" w:end="0"/>
        <w:rPr/>
      </w:pPr>
      <w:r>
        <w:rPr>
          <w:rFonts w:ascii="黑体;SimHei" w:hAnsi="黑体;SimHei" w:hint="eastAsia" w:eastAsia="黑体;SimHei"/>
        </w:rPr>
        <w:t>第二十六条</w:t>
      </w:r>
      <w:r>
        <w:rPr>
          <w:rFonts w:hint="eastAsia"/>
          <w:b/>
        </w:rPr>
        <w:t xml:space="preserve">  </w:t>
      </w:r>
      <w:r>
        <w:rPr>
          <w:rFonts w:hint="eastAsia"/>
        </w:rPr>
        <w:t>风景区管理机构应当制定游客流量控制具体方案和突发性事件应急预案，并负责组织实施，确保游客和人民群众生命财产安全。</w:t>
      </w:r>
    </w:p>
    <w:p>
      <w:pPr>
        <w:pStyle w:val="Normal"/>
        <w:shd w:fill="FFFFFF" w:val="clear"/>
        <w:ind w:firstLine="640" w:end="0"/>
        <w:rPr>
          <w:rFonts w:hint="eastAsia"/>
          <w:szCs w:val="21"/>
        </w:rPr>
      </w:pPr>
      <w:r>
        <w:rPr>
          <w:rFonts w:hint="eastAsia"/>
        </w:rPr>
        <w:t>禁止风景区超容量接纳游客。风景区管理机构应当及时公示景区游客流量及各景点人数。</w:t>
      </w:r>
    </w:p>
    <w:p>
      <w:pPr>
        <w:pStyle w:val="Normal"/>
        <w:shd w:fill="FFFFFF" w:val="clear"/>
        <w:ind w:firstLine="640" w:end="0"/>
        <w:rPr/>
      </w:pPr>
      <w:r>
        <w:rPr>
          <w:rFonts w:ascii="黑体;SimHei" w:hAnsi="黑体;SimHei" w:hint="eastAsia" w:eastAsia="黑体;SimHei"/>
        </w:rPr>
        <w:t>第二十七条</w:t>
      </w:r>
      <w:r>
        <w:rPr>
          <w:rFonts w:cs="宋体;SimSun" w:hint="eastAsia"/>
        </w:rPr>
        <w:t xml:space="preserve">  </w:t>
      </w:r>
      <w:r>
        <w:rPr>
          <w:rFonts w:hint="eastAsia"/>
        </w:rPr>
        <w:t>风景区管理机构应当督促、指导经营者科学规划旅游线路、合理安排旅游活动。</w:t>
      </w:r>
    </w:p>
    <w:p>
      <w:pPr>
        <w:pStyle w:val="Normal"/>
        <w:shd w:fill="FFFFFF" w:val="clear"/>
        <w:ind w:firstLine="640" w:end="0"/>
        <w:rPr/>
      </w:pPr>
      <w:r>
        <w:rPr>
          <w:rFonts w:hint="eastAsia"/>
        </w:rPr>
        <w:t>进入风景区的人员和车辆、船舶等交通工具，应当遵守风景区游览秩序和安全制度等管理规定；车辆和船舶等交通工具应当按照规定的路线行驶，在规定的地点停泊。</w:t>
      </w:r>
    </w:p>
    <w:p>
      <w:pPr>
        <w:pStyle w:val="Normal"/>
        <w:shd w:fill="FFFFFF" w:val="clear"/>
        <w:ind w:firstLine="640" w:end="0"/>
        <w:rPr>
          <w:rFonts w:hint="eastAsia"/>
          <w:szCs w:val="21"/>
        </w:rPr>
      </w:pPr>
      <w:r>
        <w:rPr>
          <w:rFonts w:hint="eastAsia"/>
        </w:rPr>
        <w:t>在风景区内搭建帐篷等野营设施应当在风景区管理机构指定的区域进行，服从风景区管理机构管理。</w:t>
      </w:r>
    </w:p>
    <w:p>
      <w:pPr>
        <w:pStyle w:val="Normal"/>
        <w:shd w:fill="FFFFFF" w:val="clear"/>
        <w:ind w:firstLine="640" w:end="0"/>
        <w:rPr/>
      </w:pPr>
      <w:r>
        <w:rPr>
          <w:rFonts w:ascii="黑体;SimHei" w:hAnsi="黑体;SimHei" w:hint="eastAsia" w:eastAsia="黑体;SimHei"/>
        </w:rPr>
        <w:t>第二十八条</w:t>
      </w:r>
      <w:r>
        <w:rPr>
          <w:rFonts w:cs="宋体;SimSun" w:hint="eastAsia"/>
        </w:rPr>
        <w:t xml:space="preserve">  </w:t>
      </w:r>
      <w:r>
        <w:rPr>
          <w:rFonts w:hint="eastAsia"/>
          <w:shd w:fill="FFFFFF" w:val="clear"/>
        </w:rPr>
        <w:t>在花亭湖水域使用的</w:t>
      </w:r>
      <w:r>
        <w:rPr>
          <w:rFonts w:hint="eastAsia"/>
        </w:rPr>
        <w:t>快艇、游艇等水上交通运输工具</w:t>
      </w:r>
      <w:r>
        <w:rPr>
          <w:rFonts w:hint="eastAsia"/>
          <w:shd w:fill="FFFFFF" w:val="clear"/>
        </w:rPr>
        <w:t>，有关行政主管部门应当在征求风景区管理机构意见后，依法办理登记手续。</w:t>
      </w:r>
    </w:p>
    <w:p>
      <w:pPr>
        <w:pStyle w:val="Normal"/>
        <w:shd w:fill="FFFFFF" w:val="clear"/>
        <w:ind w:firstLine="640" w:end="0"/>
        <w:rPr/>
      </w:pPr>
      <w:r>
        <w:rPr>
          <w:rFonts w:hint="eastAsia"/>
        </w:rPr>
        <w:t>严格控制</w:t>
      </w:r>
      <w:r>
        <w:rPr>
          <w:rFonts w:hint="eastAsia"/>
          <w:shd w:fill="FFFFFF" w:val="clear"/>
        </w:rPr>
        <w:t>花亭湖水域</w:t>
      </w:r>
      <w:r>
        <w:rPr>
          <w:rFonts w:hint="eastAsia"/>
        </w:rPr>
        <w:t>船</w:t>
      </w:r>
      <w:r>
        <w:rPr>
          <w:rFonts w:hint="eastAsia"/>
          <w:shd w:fill="FFFFFF" w:val="clear"/>
        </w:rPr>
        <w:t>舶</w:t>
      </w:r>
      <w:r>
        <w:rPr>
          <w:rFonts w:hint="eastAsia"/>
        </w:rPr>
        <w:t>的种类、数量、规格和使用方式等。具体管理办法由</w:t>
      </w:r>
      <w:r>
        <w:rPr>
          <w:rFonts w:cs="宋体;SimSun" w:hint="eastAsia"/>
        </w:rPr>
        <w:t>太湖县</w:t>
      </w:r>
      <w:r>
        <w:rPr>
          <w:rFonts w:hint="eastAsia"/>
        </w:rPr>
        <w:t>人民政府依法制定并公布施行。</w:t>
      </w:r>
    </w:p>
    <w:p>
      <w:pPr>
        <w:pStyle w:val="Normal"/>
        <w:shd w:fill="FFFFFF" w:val="clear"/>
        <w:ind w:firstLine="640" w:end="0"/>
        <w:rPr/>
      </w:pPr>
      <w:r>
        <w:rPr>
          <w:rFonts w:ascii="黑体;SimHei" w:hAnsi="黑体;SimHei" w:hint="eastAsia" w:eastAsia="黑体;SimHei"/>
        </w:rPr>
        <w:t>第二十九条</w:t>
      </w:r>
      <w:r>
        <w:rPr>
          <w:rFonts w:hint="eastAsia"/>
          <w:b/>
        </w:rPr>
        <w:t xml:space="preserve">  </w:t>
      </w:r>
      <w:r>
        <w:rPr>
          <w:rFonts w:hint="eastAsia"/>
        </w:rPr>
        <w:t>风景区管理机构应当根据风景区规划，制定旅游项目经营方案，报</w:t>
      </w:r>
      <w:r>
        <w:rPr>
          <w:rFonts w:cs="宋体;SimSun" w:hint="eastAsia"/>
        </w:rPr>
        <w:t>太湖县</w:t>
      </w:r>
      <w:r>
        <w:rPr>
          <w:rFonts w:hint="eastAsia"/>
        </w:rPr>
        <w:t>人民政府核准后组织实施。</w:t>
      </w:r>
    </w:p>
    <w:p>
      <w:pPr>
        <w:pStyle w:val="Normal"/>
        <w:shd w:fill="FFFFFF" w:val="clear"/>
        <w:ind w:firstLine="640" w:end="0"/>
        <w:rPr>
          <w:rFonts w:hint="eastAsia"/>
        </w:rPr>
      </w:pPr>
      <w:r>
        <w:rPr>
          <w:rFonts w:hint="eastAsia"/>
        </w:rPr>
        <w:t>风景区管理机构负责统筹旅游项目的投资开发工作。</w:t>
      </w:r>
    </w:p>
    <w:p>
      <w:pPr>
        <w:pStyle w:val="Normal"/>
        <w:shd w:fill="FFFFFF" w:val="clear"/>
        <w:ind w:firstLine="640" w:end="0"/>
        <w:rPr>
          <w:rFonts w:hint="eastAsia"/>
          <w:szCs w:val="21"/>
        </w:rPr>
      </w:pPr>
      <w:r>
        <w:rPr>
          <w:rFonts w:ascii="黑体;SimHei" w:hAnsi="黑体;SimHei" w:hint="eastAsia" w:eastAsia="黑体;SimHei"/>
        </w:rPr>
        <w:t>第三十条</w:t>
      </w:r>
      <w:r>
        <w:rPr>
          <w:rFonts w:hint="eastAsia"/>
          <w:b/>
        </w:rPr>
        <w:t xml:space="preserve"> </w:t>
      </w:r>
      <w:r>
        <w:rPr>
          <w:rFonts w:hint="eastAsia"/>
        </w:rPr>
        <w:t xml:space="preserve"> </w:t>
      </w:r>
      <w:r>
        <w:rPr>
          <w:rFonts w:hint="eastAsia"/>
          <w:shd w:fill="FFFFFF" w:val="clear"/>
        </w:rPr>
        <w:t>风景区内的交通、服务等项目，应当</w:t>
      </w:r>
      <w:r>
        <w:rPr/>
        <w:t>由风景区管理机构依照有关法律、法规和风景区规划，采用招标等公平竞争的方式确定经营者</w:t>
      </w:r>
      <w:r>
        <w:rPr>
          <w:rFonts w:hint="eastAsia"/>
        </w:rPr>
        <w:t>。</w:t>
      </w:r>
    </w:p>
    <w:p>
      <w:pPr>
        <w:pStyle w:val="Normal"/>
        <w:shd w:fill="FFFFFF" w:val="clear"/>
        <w:ind w:firstLine="640" w:end="0"/>
        <w:rPr>
          <w:rFonts w:hint="eastAsia"/>
          <w:szCs w:val="21"/>
        </w:rPr>
      </w:pPr>
      <w:r>
        <w:rPr>
          <w:rFonts w:ascii="黑体;SimHei" w:hAnsi="黑体;SimHei" w:hint="eastAsia" w:eastAsia="黑体;SimHei"/>
        </w:rPr>
        <w:t>第三十一条</w:t>
      </w:r>
      <w:r>
        <w:rPr>
          <w:rFonts w:hint="eastAsia"/>
          <w:b/>
        </w:rPr>
        <w:t xml:space="preserve">  </w:t>
      </w:r>
      <w:r>
        <w:rPr>
          <w:rFonts w:hint="eastAsia"/>
        </w:rPr>
        <w:t>风景区管理机构应当与经营者签订合同，依法确定各自的权利义务。</w:t>
      </w:r>
      <w:r>
        <w:rPr>
          <w:rFonts w:hint="eastAsia"/>
          <w:shd w:fill="FFFFFF" w:val="clear"/>
        </w:rPr>
        <w:t>经营者应当依法缴纳风景名胜资源有偿使用费。具体办法由</w:t>
      </w:r>
      <w:r>
        <w:rPr>
          <w:rFonts w:cs="宋体;SimSun" w:hint="eastAsia"/>
        </w:rPr>
        <w:t>太湖县</w:t>
      </w:r>
      <w:r>
        <w:rPr>
          <w:rFonts w:hint="eastAsia"/>
          <w:shd w:fill="FFFFFF" w:val="clear"/>
        </w:rPr>
        <w:t>人民政府依法制定并公布施行。</w:t>
      </w:r>
    </w:p>
    <w:p>
      <w:pPr>
        <w:pStyle w:val="Normal"/>
        <w:shd w:fill="FFFFFF" w:val="clear"/>
        <w:ind w:firstLine="640" w:end="0"/>
        <w:rPr>
          <w:rFonts w:hint="eastAsia"/>
          <w:szCs w:val="21"/>
        </w:rPr>
      </w:pPr>
      <w:r>
        <w:rPr>
          <w:rFonts w:hint="eastAsia"/>
        </w:rPr>
        <w:t>风景区管理机构根据风景区内生态保护的需要，经太湖县人民政府批准，可以规定风景区内禁止经营污染、破坏环境的商品和服务项目以及禁止使用的燃料、包装物品。</w:t>
      </w:r>
    </w:p>
    <w:p>
      <w:pPr>
        <w:pStyle w:val="Normal"/>
        <w:shd w:fill="FFFFFF" w:val="clear"/>
        <w:ind w:firstLine="640" w:end="0"/>
        <w:rPr>
          <w:rFonts w:hint="eastAsia"/>
        </w:rPr>
      </w:pPr>
      <w:r>
        <w:rPr>
          <w:rFonts w:hint="eastAsia"/>
        </w:rPr>
        <w:t>风景区管理机构可以会同公安、市场监管、环保、安全生产、旅游等主管部门开展监督和检查，维护旅游秩序，保护消费者合法权益。</w:t>
      </w:r>
    </w:p>
    <w:p>
      <w:pPr>
        <w:pStyle w:val="Normal"/>
        <w:shd w:fill="FFFFFF" w:val="clear"/>
        <w:ind w:firstLine="640" w:end="0"/>
        <w:rPr/>
      </w:pPr>
      <w:r>
        <w:rPr>
          <w:rFonts w:ascii="黑体;SimHei" w:hAnsi="黑体;SimHei" w:hint="eastAsia" w:eastAsia="黑体;SimHei"/>
        </w:rPr>
        <w:t>第三十二条</w:t>
      </w:r>
      <w:r>
        <w:rPr>
          <w:rFonts w:hint="eastAsia"/>
          <w:b/>
        </w:rPr>
        <w:t xml:space="preserve">  </w:t>
      </w:r>
      <w:r>
        <w:rPr>
          <w:rFonts w:hint="eastAsia"/>
        </w:rPr>
        <w:t>在风景区从事经营活动的单位和个人应当在风景区管理机构指定或者合同约定的时间和地点，按照风景区管理机构和相关部门核定的经营范围从事经营活动；不得擅自在核心景区、半边街、码头周边、景区道路两侧等处堆放货物、摆摊设点、出店经营和流动经营；不得帮助游客逃票，不得以强行拦车、尾随拉客等方式强制游客消费，不得以虚假宣传等方式误导游客消费。</w:t>
      </w:r>
    </w:p>
    <w:p>
      <w:pPr>
        <w:pStyle w:val="Normal"/>
        <w:shd w:fill="FFFFFF" w:val="clear"/>
        <w:ind w:firstLine="640" w:end="0"/>
        <w:rPr>
          <w:rFonts w:hint="eastAsia"/>
          <w:szCs w:val="21"/>
        </w:rPr>
      </w:pPr>
      <w:r>
        <w:rPr>
          <w:rFonts w:ascii="黑体;SimHei" w:hAnsi="黑体;SimHei" w:hint="eastAsia" w:eastAsia="黑体;SimHei"/>
        </w:rPr>
        <w:t>第三十三条</w:t>
      </w:r>
      <w:r>
        <w:rPr>
          <w:rFonts w:hint="eastAsia"/>
        </w:rPr>
        <w:t xml:space="preserve">  依法有偿取得从事风景区内整体或者单个项目投资、经营权利的经营者不得有下列行为：</w:t>
      </w:r>
    </w:p>
    <w:p>
      <w:pPr>
        <w:pStyle w:val="Normal"/>
        <w:shd w:fill="FFFFFF" w:val="clear"/>
        <w:ind w:firstLine="640" w:end="0"/>
        <w:rPr>
          <w:rFonts w:hint="eastAsia"/>
          <w:szCs w:val="21"/>
        </w:rPr>
      </w:pPr>
      <w:r>
        <w:rPr>
          <w:rFonts w:hint="eastAsia"/>
        </w:rPr>
        <w:t>（一）擅自处分或者变更经营权和经营内容；</w:t>
      </w:r>
    </w:p>
    <w:p>
      <w:pPr>
        <w:pStyle w:val="Normal"/>
        <w:shd w:fill="FFFFFF" w:val="clear"/>
        <w:ind w:firstLine="640" w:end="0"/>
        <w:rPr>
          <w:rFonts w:hint="eastAsia"/>
          <w:szCs w:val="21"/>
        </w:rPr>
      </w:pPr>
      <w:r>
        <w:rPr>
          <w:rFonts w:hint="eastAsia"/>
        </w:rPr>
        <w:t>（二）擅自停业、歇业等影响公共利益和公共安全；</w:t>
      </w:r>
    </w:p>
    <w:p>
      <w:pPr>
        <w:pStyle w:val="Normal"/>
        <w:shd w:fill="FFFFFF" w:val="clear"/>
        <w:ind w:firstLine="640" w:end="0"/>
        <w:rPr>
          <w:rFonts w:hint="eastAsia"/>
        </w:rPr>
      </w:pPr>
      <w:r>
        <w:rPr>
          <w:rFonts w:hint="eastAsia"/>
        </w:rPr>
        <w:t>（三）依照合同取得经营权之日起无正当理由两年内未按照合同约定实施投资、经营。</w:t>
      </w:r>
    </w:p>
    <w:p>
      <w:pPr>
        <w:pStyle w:val="Normal"/>
        <w:shd w:fill="FFFFFF" w:val="clear"/>
        <w:ind w:firstLine="640" w:end="0"/>
        <w:rPr/>
      </w:pPr>
      <w:r>
        <w:rPr>
          <w:rFonts w:ascii="黑体;SimHei" w:hAnsi="黑体;SimHei" w:hint="eastAsia" w:eastAsia="黑体;SimHei"/>
        </w:rPr>
        <w:t>第三十四条</w:t>
      </w:r>
      <w:r>
        <w:rPr>
          <w:rFonts w:cs="宋体;SimSun" w:hint="eastAsia"/>
        </w:rPr>
        <w:t xml:space="preserve">  </w:t>
      </w:r>
      <w:r>
        <w:rPr>
          <w:rFonts w:hint="eastAsia"/>
        </w:rPr>
        <w:t>进入风景区的门票，由风景区管理机构负责出售，门票价格按照有关价格法律法规的规定执行。</w:t>
      </w:r>
    </w:p>
    <w:p>
      <w:pPr>
        <w:pStyle w:val="Normal"/>
        <w:shd w:fill="FFFFFF" w:val="clear"/>
        <w:ind w:firstLine="640" w:end="0"/>
        <w:rPr/>
      </w:pPr>
      <w:r>
        <w:rPr>
          <w:rFonts w:ascii="黑体;SimHei" w:hAnsi="黑体;SimHei" w:hint="eastAsia" w:eastAsia="黑体;SimHei"/>
        </w:rPr>
        <w:t>第三十五条</w:t>
      </w:r>
      <w:r>
        <w:rPr>
          <w:rFonts w:hint="eastAsia"/>
        </w:rPr>
        <w:t xml:space="preserve">  风景区内宗教活动场所的管理，依照国家有关宗教活动场所管理的规定执行。</w:t>
      </w:r>
    </w:p>
    <w:p>
      <w:pPr>
        <w:pStyle w:val="Normal"/>
        <w:shd w:fill="FFFFFF" w:val="clear"/>
        <w:ind w:firstLine="640" w:end="0"/>
        <w:rPr>
          <w:rFonts w:hint="eastAsia"/>
        </w:rPr>
      </w:pPr>
      <w:r>
        <w:rPr>
          <w:rFonts w:hint="eastAsia"/>
        </w:rPr>
        <w:t>风景区内涉及饮用水源地、湿地等自然资源保护、利用、管理和文物保护以及水库、灌区等管理的，还应当执行国家有关法律、法规的规定。</w:t>
      </w:r>
    </w:p>
    <w:p>
      <w:pPr>
        <w:pStyle w:val="Normal"/>
        <w:shd w:fill="FFFFFF" w:val="clear"/>
        <w:jc w:val="center"/>
        <w:rPr>
          <w:rFonts w:eastAsia="黑体;SimHei" w:hint="eastAsia"/>
        </w:rPr>
      </w:pPr>
      <w:r>
        <w:rPr>
          <w:rFonts w:eastAsia="黑体;SimHei" w:hint="eastAsia"/>
        </w:rPr>
      </w:r>
    </w:p>
    <w:p>
      <w:pPr>
        <w:pStyle w:val="Normal"/>
        <w:shd w:fill="FFFFFF" w:val="clear"/>
        <w:jc w:val="center"/>
        <w:rPr>
          <w:rFonts w:eastAsia="黑体;SimHei" w:hint="eastAsia"/>
        </w:rPr>
      </w:pPr>
      <w:r>
        <w:rPr>
          <w:rFonts w:cs="黑体;SimHei" w:hint="eastAsia" w:eastAsia="黑体;SimHei"/>
        </w:rPr>
        <w:t>第五章</w:t>
      </w:r>
      <w:r>
        <w:rPr>
          <w:rFonts w:hint="eastAsia" w:eastAsia="黑体;SimHei"/>
        </w:rPr>
        <w:t xml:space="preserve">  </w:t>
      </w:r>
      <w:r>
        <w:rPr>
          <w:rFonts w:cs="黑体;SimHei" w:hint="eastAsia" w:eastAsia="黑体;SimHei"/>
        </w:rPr>
        <w:t>法律责任</w:t>
      </w:r>
    </w:p>
    <w:p>
      <w:pPr>
        <w:pStyle w:val="Normal"/>
        <w:shd w:fill="FFFFFF" w:val="clear"/>
        <w:jc w:val="center"/>
        <w:rPr>
          <w:rFonts w:eastAsia="黑体;SimHei" w:hint="eastAsia"/>
        </w:rPr>
      </w:pPr>
      <w:r>
        <w:rPr>
          <w:rFonts w:eastAsia="黑体;SimHei" w:hint="eastAsia"/>
        </w:rPr>
      </w:r>
    </w:p>
    <w:p>
      <w:pPr>
        <w:pStyle w:val="Normal"/>
        <w:shd w:fill="FFFFFF" w:val="clear"/>
        <w:ind w:firstLine="640" w:end="0"/>
        <w:rPr>
          <w:rFonts w:hint="eastAsia"/>
          <w:szCs w:val="21"/>
        </w:rPr>
      </w:pPr>
      <w:r>
        <w:rPr>
          <w:rFonts w:ascii="黑体;SimHei" w:hAnsi="黑体;SimHei" w:hint="eastAsia" w:eastAsia="黑体;SimHei"/>
        </w:rPr>
        <w:t>第三十六条</w:t>
      </w:r>
      <w:r>
        <w:rPr>
          <w:rFonts w:cs="宋体;SimSun" w:hint="eastAsia"/>
        </w:rPr>
        <w:t xml:space="preserve">  </w:t>
      </w:r>
      <w:r>
        <w:rPr>
          <w:rFonts w:hint="eastAsia"/>
          <w:shd w:fill="FFFFFF" w:val="clear"/>
        </w:rPr>
        <w:t>违反本条例第二十条规定的，由</w:t>
      </w:r>
      <w:r>
        <w:rPr>
          <w:rFonts w:hint="eastAsia"/>
        </w:rPr>
        <w:t>风景区</w:t>
      </w:r>
      <w:r>
        <w:rPr>
          <w:rFonts w:hint="eastAsia"/>
          <w:shd w:fill="FFFFFF" w:val="clear"/>
        </w:rPr>
        <w:t>管理机构责令停止违法行为，恢复原状或者采取其他补救措施，没收违法所得，并处罚款；造成损失的，应当依法予以赔偿：</w:t>
      </w:r>
    </w:p>
    <w:p>
      <w:pPr>
        <w:pStyle w:val="Normal"/>
        <w:shd w:fill="FFFFFF" w:val="clear"/>
        <w:ind w:firstLine="640" w:end="0"/>
        <w:rPr/>
      </w:pPr>
      <w:r>
        <w:rPr>
          <w:rFonts w:hint="eastAsia"/>
          <w:shd w:fill="FFFFFF" w:val="clear"/>
        </w:rPr>
        <w:t>（一）</w:t>
      </w:r>
      <w:r>
        <w:rPr>
          <w:rFonts w:hint="eastAsia"/>
        </w:rPr>
        <w:t>违反第一项规定，在风景区内开荒、烧砖瓦、烧石灰、修坟立碑或者损毁园林建筑、雕塑等破坏景观、植被和地形地貌的，处一千元以上一万元以下罚款；</w:t>
      </w:r>
    </w:p>
    <w:p>
      <w:pPr>
        <w:pStyle w:val="Normal"/>
        <w:shd w:fill="FFFFFF" w:val="clear"/>
        <w:ind w:firstLine="640" w:end="0"/>
        <w:rPr>
          <w:rFonts w:hint="eastAsia"/>
          <w:szCs w:val="21"/>
        </w:rPr>
      </w:pPr>
      <w:r>
        <w:rPr>
          <w:rFonts w:hint="eastAsia"/>
        </w:rPr>
        <w:t>（二）违反第四项规定，在风景区内倾倒建筑垃圾、工程渣土的，对单位处五千元以上二万元以下罚款；情节严重的，处二万元以上五万元以下罚款；对个人处五十元以上二百元以下罚款；</w:t>
      </w:r>
    </w:p>
    <w:p>
      <w:pPr>
        <w:pStyle w:val="Normal"/>
        <w:shd w:fill="FFFFFF" w:val="clear"/>
        <w:ind w:firstLine="640" w:end="0"/>
        <w:rPr>
          <w:rFonts w:hint="eastAsia"/>
          <w:szCs w:val="21"/>
        </w:rPr>
      </w:pPr>
      <w:r>
        <w:rPr>
          <w:rFonts w:hint="eastAsia"/>
        </w:rPr>
        <w:t>（三）违反第五项规定，在</w:t>
      </w:r>
      <w:r>
        <w:rPr>
          <w:rFonts w:hint="eastAsia"/>
          <w:shd w:fill="FFFFFF" w:val="clear"/>
        </w:rPr>
        <w:t>风</w:t>
      </w:r>
      <w:r>
        <w:rPr>
          <w:rFonts w:hint="eastAsia"/>
        </w:rPr>
        <w:t>景区道路、水上运输易飘洒散装货物不作包扎、覆盖造成飘洒、泄露的，处二百元以上一千元以下罚款；</w:t>
      </w:r>
    </w:p>
    <w:p>
      <w:pPr>
        <w:pStyle w:val="Normal"/>
        <w:shd w:fill="FFFFFF" w:val="clear"/>
        <w:ind w:firstLine="640" w:end="0"/>
        <w:rPr>
          <w:rFonts w:hint="eastAsia"/>
          <w:szCs w:val="21"/>
        </w:rPr>
      </w:pPr>
      <w:r>
        <w:rPr>
          <w:rFonts w:hint="eastAsia"/>
        </w:rPr>
        <w:t>（四）违反第六、七项规定，在风景区内景物上刻划、涂污、乱扔垃圾的，处五十元罚款；刻划、涂污或者以其他方式故意损坏文物、名胜古迹，构成违反治安管理行为的，按照治安管理处罚法的有关规定予以处罚；构成犯罪的，依法追究刑事责任；</w:t>
      </w:r>
    </w:p>
    <w:p>
      <w:pPr>
        <w:pStyle w:val="Normal"/>
        <w:shd w:fill="FFFFFF" w:val="clear"/>
        <w:ind w:firstLine="640" w:end="0"/>
        <w:rPr>
          <w:rFonts w:hint="eastAsia"/>
          <w:szCs w:val="21"/>
        </w:rPr>
      </w:pPr>
      <w:r>
        <w:rPr>
          <w:rFonts w:hint="eastAsia"/>
          <w:shd w:fill="FFFFFF" w:val="clear"/>
        </w:rPr>
        <w:t>（五）违反</w:t>
      </w:r>
      <w:r>
        <w:rPr>
          <w:rFonts w:hint="eastAsia"/>
        </w:rPr>
        <w:t>第八项规定，损毁标界、标牌、座椅、垃圾箱等公共设施的，处一百元以上五百元以下罚款；情节严重的，处五百元以上二千元以下罚款；</w:t>
      </w:r>
    </w:p>
    <w:p>
      <w:pPr>
        <w:pStyle w:val="Normal"/>
        <w:shd w:fill="FFFFFF" w:val="clear"/>
        <w:ind w:firstLine="640" w:end="0"/>
        <w:rPr>
          <w:rFonts w:hint="eastAsia"/>
          <w:szCs w:val="21"/>
        </w:rPr>
      </w:pPr>
      <w:r>
        <w:rPr>
          <w:rFonts w:hint="eastAsia"/>
        </w:rPr>
        <w:t>（六）违反第九项规定，攀折林木，损坏绿地，擅自采摘采挖野生花果、药材等的，处五十元以上二百元以下罚款；情节严重的，处二百元以上一千元以下罚款；</w:t>
      </w:r>
    </w:p>
    <w:p>
      <w:pPr>
        <w:pStyle w:val="Normal"/>
        <w:shd w:fill="FFFFFF" w:val="clear"/>
        <w:ind w:firstLine="640" w:end="0"/>
        <w:rPr>
          <w:rFonts w:hint="eastAsia"/>
          <w:szCs w:val="21"/>
        </w:rPr>
      </w:pPr>
      <w:r>
        <w:rPr>
          <w:rFonts w:hint="eastAsia"/>
        </w:rPr>
        <w:t>（七）违反第十项规定，在非指定区域吸烟、烧香燃烛的，处五十元以上五百元以下罚款。</w:t>
      </w:r>
    </w:p>
    <w:p>
      <w:pPr>
        <w:pStyle w:val="Normal"/>
        <w:shd w:fill="FFFFFF" w:val="clear"/>
        <w:ind w:firstLine="640" w:end="0"/>
        <w:rPr>
          <w:rFonts w:hint="eastAsia"/>
          <w:szCs w:val="21"/>
        </w:rPr>
      </w:pPr>
      <w:r>
        <w:rPr>
          <w:rFonts w:ascii="黑体;SimHei" w:hAnsi="黑体;SimHei" w:hint="eastAsia" w:eastAsia="黑体;SimHei"/>
        </w:rPr>
        <w:t>第三十七条</w:t>
      </w:r>
      <w:r>
        <w:rPr>
          <w:rFonts w:hint="eastAsia"/>
          <w:b/>
        </w:rPr>
        <w:t xml:space="preserve">  </w:t>
      </w:r>
      <w:r>
        <w:rPr>
          <w:rFonts w:hint="eastAsia"/>
        </w:rPr>
        <w:t>违反本条例第二十三条规定的，由风景区管理机构责令拆除或者清除相关标识标牌、设施、宣传品；拒不改正的，处五十元以上二百元以下罚款。</w:t>
      </w:r>
    </w:p>
    <w:p>
      <w:pPr>
        <w:pStyle w:val="Normal"/>
        <w:shd w:fill="FFFFFF" w:val="clear"/>
        <w:ind w:firstLine="640" w:end="0"/>
        <w:rPr/>
      </w:pPr>
      <w:r>
        <w:rPr>
          <w:rFonts w:ascii="黑体;SimHei" w:hAnsi="黑体;SimHei" w:hint="eastAsia" w:eastAsia="黑体;SimHei"/>
        </w:rPr>
        <w:t>第三十八条</w:t>
      </w:r>
      <w:r>
        <w:rPr>
          <w:rFonts w:hint="eastAsia"/>
          <w:b/>
        </w:rPr>
        <w:t xml:space="preserve">  </w:t>
      </w:r>
      <w:r>
        <w:rPr>
          <w:rFonts w:hint="eastAsia"/>
        </w:rPr>
        <w:t>违反本条例第二十七条第二款规定，进入风景区的车辆、船舶等交通工具，不按照规定的地点停泊的，由风景区管理机构责令改正；不听劝阻、拒不改正的，处一百元以上五百元以下罚款。</w:t>
      </w:r>
    </w:p>
    <w:p>
      <w:pPr>
        <w:pStyle w:val="Normal"/>
        <w:shd w:fill="FFFFFF" w:val="clear"/>
        <w:ind w:firstLine="640" w:end="0"/>
        <w:rPr>
          <w:rFonts w:hint="eastAsia"/>
          <w:szCs w:val="21"/>
        </w:rPr>
      </w:pPr>
      <w:r>
        <w:rPr>
          <w:rFonts w:ascii="黑体;SimHei" w:hAnsi="黑体;SimHei" w:hint="eastAsia" w:eastAsia="黑体;SimHei"/>
        </w:rPr>
        <w:t>第三十九条</w:t>
      </w:r>
      <w:r>
        <w:rPr>
          <w:rFonts w:cs="宋体;SimSun" w:hint="eastAsia"/>
        </w:rPr>
        <w:t xml:space="preserve">  </w:t>
      </w:r>
      <w:r>
        <w:rPr>
          <w:rFonts w:hint="eastAsia"/>
        </w:rPr>
        <w:t>违反本条例第三十二条规定，帮助游客逃票，以强行拦车、尾随拉客等方式强制游客消费的，由公安部门依法处罚；以虚假宣传等方式误导游客消费的，由市场监督管理部门或者经其授权的风景区管理机构依法处罚；擅自在核心景区、半边街、码头周边、景区道路两侧等处堆放货物、摆摊设点、出店经营和流动经营的，由风景区管理机构责令改正；拒不改正的，处一百元以上五百元以下罚款。</w:t>
      </w:r>
    </w:p>
    <w:p>
      <w:pPr>
        <w:pStyle w:val="Normal"/>
        <w:shd w:fill="FFFFFF" w:val="clear"/>
        <w:ind w:firstLine="640" w:end="0"/>
        <w:rPr>
          <w:rFonts w:hint="eastAsia"/>
          <w:szCs w:val="21"/>
        </w:rPr>
      </w:pPr>
      <w:r>
        <w:rPr>
          <w:rFonts w:ascii="黑体;SimHei" w:hAnsi="黑体;SimHei" w:hint="eastAsia" w:eastAsia="黑体;SimHei"/>
        </w:rPr>
        <w:t>第四十条</w:t>
      </w:r>
      <w:r>
        <w:rPr>
          <w:rFonts w:cs="宋体;SimSun" w:hint="eastAsia"/>
        </w:rPr>
        <w:t xml:space="preserve">  </w:t>
      </w:r>
      <w:r>
        <w:rPr>
          <w:rFonts w:hint="eastAsia"/>
        </w:rPr>
        <w:t>风景区管理机构和负有管理、监督职责的有关部门及其工作人员违反本条例规定，有下列情形之一的，由有关的人民政府责令改正；情节严重的，依法给予处分；构成犯罪的，依法追究刑事责任：</w:t>
      </w:r>
    </w:p>
    <w:p>
      <w:pPr>
        <w:pStyle w:val="Normal"/>
        <w:shd w:fill="FFFFFF" w:val="clear"/>
        <w:ind w:firstLine="640" w:end="0"/>
        <w:rPr>
          <w:rFonts w:hint="eastAsia"/>
          <w:szCs w:val="21"/>
        </w:rPr>
      </w:pPr>
      <w:r>
        <w:rPr>
          <w:rFonts w:hint="eastAsia"/>
        </w:rPr>
        <w:t>（一）超过允许容量接纳游客或者在没有安全保障的区域开展游览活动的；</w:t>
      </w:r>
    </w:p>
    <w:p>
      <w:pPr>
        <w:pStyle w:val="Normal"/>
        <w:shd w:fill="FFFFFF" w:val="clear"/>
        <w:ind w:firstLine="640" w:end="0"/>
        <w:rPr>
          <w:rFonts w:hint="eastAsia"/>
          <w:szCs w:val="21"/>
        </w:rPr>
      </w:pPr>
      <w:r>
        <w:rPr>
          <w:rFonts w:hint="eastAsia"/>
        </w:rPr>
        <w:t>（二）未设置风景区标志和路标、安全警示等标牌的；</w:t>
      </w:r>
    </w:p>
    <w:p>
      <w:pPr>
        <w:pStyle w:val="Normal"/>
        <w:shd w:fill="FFFFFF" w:val="clear"/>
        <w:ind w:firstLine="640" w:end="0"/>
        <w:rPr>
          <w:rFonts w:hint="eastAsia"/>
          <w:szCs w:val="21"/>
        </w:rPr>
      </w:pPr>
      <w:r>
        <w:rPr>
          <w:rFonts w:hint="eastAsia"/>
        </w:rPr>
        <w:t>（三）从事以营利为目的的经营活动的；</w:t>
      </w:r>
    </w:p>
    <w:p>
      <w:pPr>
        <w:pStyle w:val="Normal"/>
        <w:shd w:fill="FFFFFF" w:val="clear"/>
        <w:ind w:firstLine="640" w:end="0"/>
        <w:rPr>
          <w:rFonts w:hint="eastAsia"/>
          <w:szCs w:val="21"/>
        </w:rPr>
      </w:pPr>
      <w:r>
        <w:rPr>
          <w:rFonts w:hint="eastAsia"/>
        </w:rPr>
        <w:t>（四）将规划、管理和监督等行政管理职能委托给企业或者个人行使的；</w:t>
      </w:r>
    </w:p>
    <w:p>
      <w:pPr>
        <w:pStyle w:val="Normal"/>
        <w:shd w:fill="FFFFFF" w:val="clear"/>
        <w:ind w:firstLine="640" w:end="0"/>
        <w:rPr>
          <w:rFonts w:hint="eastAsia"/>
          <w:szCs w:val="21"/>
        </w:rPr>
      </w:pPr>
      <w:r>
        <w:rPr>
          <w:rFonts w:hint="eastAsia"/>
        </w:rPr>
        <w:t>（五）允许风景区管理机构的工作人员在风景区内的企业兼职的；</w:t>
      </w:r>
    </w:p>
    <w:p>
      <w:pPr>
        <w:pStyle w:val="Normal"/>
        <w:shd w:fill="FFFFFF" w:val="clear"/>
        <w:ind w:firstLine="640" w:end="0"/>
        <w:rPr>
          <w:rFonts w:hint="eastAsia"/>
          <w:szCs w:val="21"/>
        </w:rPr>
      </w:pPr>
      <w:r>
        <w:rPr>
          <w:rFonts w:hint="eastAsia"/>
        </w:rPr>
        <w:t>（六）审核同意在风景区内进行不符合风景区规划的建设活动的；</w:t>
      </w:r>
    </w:p>
    <w:p>
      <w:pPr>
        <w:pStyle w:val="Normal"/>
        <w:shd w:fill="FFFFFF" w:val="clear"/>
        <w:ind w:firstLine="640" w:end="0"/>
        <w:rPr>
          <w:rFonts w:hint="eastAsia"/>
          <w:szCs w:val="21"/>
        </w:rPr>
      </w:pPr>
      <w:r>
        <w:rPr>
          <w:rFonts w:hint="eastAsia"/>
        </w:rPr>
        <w:t>（七）发现违法行为不予查处的；</w:t>
      </w:r>
    </w:p>
    <w:p>
      <w:pPr>
        <w:pStyle w:val="Normal"/>
        <w:shd w:fill="FFFFFF" w:val="clear"/>
        <w:ind w:firstLine="640" w:end="0"/>
        <w:rPr>
          <w:rFonts w:hint="eastAsia"/>
          <w:szCs w:val="21"/>
        </w:rPr>
      </w:pPr>
      <w:r>
        <w:rPr>
          <w:rFonts w:hint="eastAsia"/>
        </w:rPr>
        <w:t>（八）不依法履行监督管理职责的其他行为。</w:t>
      </w:r>
    </w:p>
    <w:p>
      <w:pPr>
        <w:pStyle w:val="Normal"/>
        <w:shd w:fill="FFFFFF" w:val="clear"/>
        <w:ind w:firstLine="640" w:end="0"/>
        <w:rPr>
          <w:rFonts w:hint="eastAsia"/>
          <w:szCs w:val="21"/>
        </w:rPr>
      </w:pPr>
      <w:r>
        <w:rPr>
          <w:rFonts w:ascii="黑体;SimHei" w:hAnsi="黑体;SimHei" w:hint="eastAsia" w:eastAsia="黑体;SimHei"/>
        </w:rPr>
        <w:t>第四十一条</w:t>
      </w:r>
      <w:r>
        <w:rPr>
          <w:rFonts w:hint="eastAsia"/>
          <w:b/>
        </w:rPr>
        <w:t xml:space="preserve">  </w:t>
      </w:r>
      <w:r>
        <w:rPr>
          <w:rFonts w:hint="eastAsia"/>
        </w:rPr>
        <w:t>依照本条例的规定，责令限期拆除在风景区内违法建设的建（构）筑物或者其他设施的，有关单位或者个人应当立即停止建设活动，自行拆除；对继续进行建设的，作出责令限期拆除决定的机关有权制止。有关单位或者个人对责令限期拆除决定不服的，可以在接到责令限期拆除决定之日起十五日内，向人民法院提起诉讼；期满不起诉又不自行拆除的，由作出责令限期拆除决定的机关依法申请人民法院强制执行。</w:t>
      </w:r>
    </w:p>
    <w:p>
      <w:pPr>
        <w:pStyle w:val="Normal"/>
        <w:shd w:fill="FFFFFF" w:val="clear"/>
        <w:ind w:firstLine="640" w:end="0"/>
        <w:rPr>
          <w:rFonts w:hint="eastAsia"/>
          <w:szCs w:val="21"/>
        </w:rPr>
      </w:pPr>
      <w:r>
        <w:rPr>
          <w:rFonts w:ascii="黑体;SimHei" w:hAnsi="黑体;SimHei" w:hint="eastAsia" w:eastAsia="黑体;SimHei"/>
        </w:rPr>
        <w:t>第四十二条</w:t>
      </w:r>
      <w:r>
        <w:rPr>
          <w:rFonts w:cs="宋体;SimSun" w:hint="eastAsia"/>
        </w:rPr>
        <w:t xml:space="preserve">  </w:t>
      </w:r>
      <w:r>
        <w:rPr>
          <w:rFonts w:hint="eastAsia"/>
        </w:rPr>
        <w:t>违反本条例规定的行为，法律、法规另有规定的，从其规定。</w:t>
      </w:r>
    </w:p>
    <w:p>
      <w:pPr>
        <w:pStyle w:val="Normal"/>
        <w:shd w:fill="FFFFFF" w:val="clear"/>
        <w:jc w:val="center"/>
        <w:rPr>
          <w:rFonts w:hint="eastAsia"/>
          <w:szCs w:val="21"/>
        </w:rPr>
      </w:pPr>
      <w:r>
        <w:rPr>
          <w:rFonts w:hint="eastAsia"/>
          <w:szCs w:val="21"/>
        </w:rPr>
      </w:r>
    </w:p>
    <w:p>
      <w:pPr>
        <w:pStyle w:val="Normal"/>
        <w:shd w:fill="FFFFFF" w:val="clear"/>
        <w:jc w:val="center"/>
        <w:rPr>
          <w:rFonts w:eastAsia="黑体;SimHei" w:hint="eastAsia"/>
        </w:rPr>
      </w:pPr>
      <w:r>
        <w:rPr>
          <w:rFonts w:cs="黑体;SimHei" w:hint="eastAsia" w:eastAsia="黑体;SimHei"/>
        </w:rPr>
        <w:t>第六章</w:t>
      </w:r>
      <w:r>
        <w:rPr>
          <w:rFonts w:cs="宋体;SimSun" w:hint="eastAsia" w:eastAsia="黑体;SimHei"/>
        </w:rPr>
        <w:t xml:space="preserve">   </w:t>
      </w:r>
      <w:r>
        <w:rPr>
          <w:rFonts w:cs="黑体;SimHei" w:hint="eastAsia" w:eastAsia="黑体;SimHei"/>
        </w:rPr>
        <w:t>附</w:t>
      </w:r>
      <w:r>
        <w:rPr>
          <w:rFonts w:cs="宋体;SimSun" w:hint="eastAsia" w:eastAsia="黑体;SimHei"/>
        </w:rPr>
        <w:t xml:space="preserve">    </w:t>
      </w:r>
      <w:r>
        <w:rPr>
          <w:rFonts w:cs="黑体;SimHei" w:hint="eastAsia" w:eastAsia="黑体;SimHei"/>
        </w:rPr>
        <w:t>则</w:t>
      </w:r>
    </w:p>
    <w:p>
      <w:pPr>
        <w:pStyle w:val="Normal"/>
        <w:shd w:fill="FFFFFF" w:val="clear"/>
        <w:jc w:val="center"/>
        <w:rPr>
          <w:rFonts w:eastAsia="黑体;SimHei" w:hint="eastAsia"/>
        </w:rPr>
      </w:pPr>
      <w:r>
        <w:rPr>
          <w:rFonts w:eastAsia="黑体;SimHei" w:hint="eastAsia"/>
        </w:rPr>
      </w:r>
    </w:p>
    <w:p>
      <w:pPr>
        <w:pStyle w:val="Normal"/>
        <w:ind w:firstLineChars="200" w:startChars="0" w:start="0" w:endChars="0" w:end="0"/>
        <w:rPr>
          <w:rFonts w:hint="eastAsia"/>
        </w:rPr>
      </w:pPr>
      <w:r>
        <w:rPr>
          <w:rFonts w:ascii="黑体;SimHei" w:hAnsi="黑体;SimHei" w:hint="eastAsia" w:eastAsia="黑体;SimHei"/>
        </w:rPr>
        <w:t>第四十三条</w:t>
      </w:r>
      <w:r>
        <w:rPr>
          <w:rFonts w:cs="宋体;SimSun" w:hint="eastAsia"/>
        </w:rPr>
        <w:t xml:space="preserve">  </w:t>
      </w:r>
      <w:r>
        <w:rPr>
          <w:rFonts w:hint="eastAsia"/>
        </w:rPr>
        <w:t>本条例自</w:t>
      </w:r>
      <w:r>
        <w:rPr>
          <w:rFonts w:hint="eastAsia"/>
        </w:rPr>
        <w:t>2019</w:t>
      </w:r>
      <w:r>
        <w:rPr>
          <w:rFonts w:hint="eastAsia"/>
        </w:rPr>
        <w:t>年</w:t>
      </w:r>
      <w:r>
        <w:rPr>
          <w:rFonts w:hint="eastAsia"/>
        </w:rPr>
        <w:t>12</w:t>
      </w:r>
      <w:r>
        <w:rPr>
          <w:rFonts w:hint="eastAsia"/>
        </w:rPr>
        <w:t>月</w:t>
      </w:r>
      <w:r>
        <w:rPr>
          <w:rFonts w:hint="eastAsia"/>
          <w:shd w:fill="FFFFFF" w:val="clear"/>
        </w:rPr>
        <w:t>1</w:t>
      </w:r>
      <w:r>
        <w:rPr>
          <w:rFonts w:hint="eastAsia"/>
        </w:rPr>
        <w:t>日起施行。</w:t>
      </w:r>
    </w:p>
    <w:p>
      <w:pPr>
        <w:pStyle w:val="Normal"/>
        <w:ind w:firstLineChars="200" w:startChars="0" w:start="0" w:endChars="0" w:end="0"/>
        <w:rPr>
          <w:rFonts w:hint="eastAsia"/>
        </w:rPr>
      </w:pPr>
      <w:r>
        <w:rPr>
          <w:rFonts w:hint="eastAsia"/>
        </w:rPr>
      </w:r>
    </w:p>
    <w:sectPr>
      <w:footerReference w:type="default" r:id="rId2"/>
      <w:type w:val="nextPage"/>
      <w:pgSz w:w="11906" w:h="16838"/>
      <w:pgMar w:left="1531" w:right="1531" w:gutter="0" w:header="0" w:top="1928" w:footer="1588" w:bottom="1928"/>
      <w:pgNumType w:start="1" w:fmt="decimal"/>
      <w:formProt w:val="false"/>
      <w:textDirection w:val="lrTb"/>
      <w:docGrid w:type="linesAndChars" w:linePitch="590"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
    <w:charset w:val="86"/>
    <w:family w:val="modern"/>
    <w:pitch w:val="default"/>
  </w:font>
  <w:font w:name="宋体">
    <w:altName w:val="SimSun"/>
    <w:charset w:val="86"/>
    <w:family w:val="auto"/>
    <w:pitch w:val="variable"/>
  </w:font>
  <w:font w:name="Liberation Sans">
    <w:altName w:val="Arial"/>
    <w:charset w:val="01" w:characterSet="utf-8"/>
    <w:family w:val="swiss"/>
    <w:pitch w:val="variable"/>
  </w:font>
  <w:font w:name="Tahoma">
    <w:charset w:val="00" w:characterSet="windows-1252"/>
    <w:family w:val="swiss"/>
    <w:pitch w:val="variable"/>
  </w:font>
  <w:font w:name="Calibri">
    <w:charset w:val="00" w:characterSet="windows-1252"/>
    <w:family w:val="swiss"/>
    <w:pitch w:val="variable"/>
  </w:font>
  <w:font w:name="方正小标宋简体">
    <w:charset w:val="86"/>
    <w:family w:val="auto"/>
    <w:pitch w:val="variable"/>
  </w:font>
  <w:font w:name="仿宋_GB2312">
    <w:charset w:val="86"/>
    <w:family w:val="modern"/>
    <w:pitch w:val="default"/>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5" behindDoc="0" locked="0" layoutInCell="0" allowOverlap="1">
              <wp:simplePos x="0" y="0"/>
              <wp:positionH relativeFrom="margin">
                <wp:align>outside</wp:align>
              </wp:positionH>
              <wp:positionV relativeFrom="paragraph">
                <wp:posOffset>635</wp:posOffset>
              </wp:positionV>
              <wp:extent cx="651510" cy="906780"/>
              <wp:effectExtent l="0" t="0" r="0" b="0"/>
              <wp:wrapSquare wrapText="bothSides"/>
              <wp:docPr id="1" name="Frame1"/>
              <a:graphic xmlns:a="http://schemas.openxmlformats.org/drawingml/2006/main">
                <a:graphicData uri="http://schemas.microsoft.com/office/word/2010/wordprocessingShape">
                  <wps:wsp>
                    <wps:cNvSpPr txBox="1"/>
                    <wps:spPr>
                      <a:xfrm>
                        <a:off x="0" y="0"/>
                        <a:ext cx="651510" cy="906780"/>
                      </a:xfrm>
                      <a:prstGeom prst="rect"/>
                      <a:solidFill>
                        <a:srgbClr val="FFFFFF">
                          <a:alpha val="0"/>
                        </a:srgbClr>
                      </a:solidFill>
                    </wps:spPr>
                    <wps:txbx>
                      <w:txbxContent>
                        <w:p>
                          <w:pPr>
                            <w:pStyle w:val="Footer"/>
                            <w:ind w:firstLineChars="0" w:firstLine="0" w:startChars="100" w:endChars="100"/>
                            <w:rPr>
                              <w:rStyle w:val="PageNumber"/>
                              <w:rFonts w:ascii="宋体;SimSun" w:hAnsi="宋体;SimSun" w:eastAsia="宋体;SimSun" w:cs="宋体;SimSun" w:hint="eastAsia"/>
                              <w:sz w:val="28"/>
                              <w:szCs w:val="28"/>
                            </w:rPr>
                          </w:pPr>
                          <w:r>
                            <w:rPr>
                              <w:rStyle w:val="PageNumber"/>
                              <w:rFonts w:eastAsia="宋体;SimSun" w:cs="宋体;SimSun" w:hint="eastAsia" w:ascii="宋体;SimSun" w:hAnsi="宋体;SimSun"/>
                              <w:sz w:val="28"/>
                              <w:szCs w:val="28"/>
                            </w:rPr>
                            <w:t xml:space="preserve">— </w:t>
                          </w:r>
                          <w:r>
                            <w:rPr>
                              <w:rStyle w:val="PageNumber"/>
                              <w:rFonts w:eastAsia="宋体;SimSun" w:cs="宋体;SimSun" w:ascii="宋体;SimSun" w:hAnsi="宋体;SimSun"/>
                              <w:sz w:val="28"/>
                              <w:szCs w:val="28"/>
                            </w:rPr>
                            <w:fldChar w:fldCharType="begin"/>
                          </w:r>
                          <w:r>
                            <w:rPr>
                              <w:rStyle w:val="PageNumber"/>
                              <w:rFonts w:eastAsia="宋体;SimSun" w:cs="宋体;SimSun" w:ascii="宋体;SimSun" w:hAnsi="宋体;SimSun"/>
                              <w:sz w:val="28"/>
                              <w:szCs w:val="28"/>
                            </w:rPr>
                            <w:instrText xml:space="preserve"> PAGE </w:instrText>
                          </w:r>
                          <w:r>
                            <w:rPr>
                              <w:rStyle w:val="PageNumber"/>
                              <w:rFonts w:eastAsia="宋体;SimSun" w:cs="宋体;SimSun" w:ascii="宋体;SimSun" w:hAnsi="宋体;SimSun"/>
                              <w:sz w:val="28"/>
                              <w:szCs w:val="28"/>
                            </w:rPr>
                            <w:fldChar w:fldCharType="separate"/>
                          </w:r>
                          <w:r>
                            <w:rPr>
                              <w:rStyle w:val="PageNumber"/>
                              <w:rFonts w:eastAsia="宋体;SimSun" w:cs="宋体;SimSun" w:ascii="宋体;SimSun" w:hAnsi="宋体;SimSun"/>
                              <w:sz w:val="28"/>
                              <w:szCs w:val="28"/>
                            </w:rPr>
                            <w:t>14</w:t>
                          </w:r>
                          <w:r>
                            <w:rPr>
                              <w:rStyle w:val="PageNumber"/>
                              <w:rFonts w:eastAsia="宋体;SimSun" w:cs="宋体;SimSun" w:ascii="宋体;SimSun" w:hAnsi="宋体;SimSun"/>
                              <w:sz w:val="28"/>
                              <w:szCs w:val="28"/>
                            </w:rPr>
                            <w:fldChar w:fldCharType="end"/>
                          </w:r>
                          <w:r>
                            <w:rPr>
                              <w:rStyle w:val="PageNumber"/>
                              <w:rFonts w:eastAsia="宋体;SimSun" w:cs="宋体;SimSun" w:hint="eastAsia" w:ascii="宋体;SimSun" w:hAnsi="宋体;SimSun"/>
                              <w:sz w:val="28"/>
                              <w:szCs w:val="28"/>
                            </w:rPr>
                            <w:t xml:space="preserve"> —</w:t>
                          </w:r>
                        </w:p>
                      </w:txbxContent>
                    </wps:txbx>
                    <wps:bodyPr anchor="t" lIns="0" tIns="0" rIns="0" bIns="0">
                      <a:noAutofit/>
                    </wps:bodyPr>
                  </wps:wsp>
                </a:graphicData>
              </a:graphic>
            </wp:anchor>
          </w:drawing>
        </mc:Choice>
        <mc:Fallback>
          <w:pict>
            <v:rect fillcolor="#FFFFFF" style="position:absolute;rotation:-0;width:51.3pt;height:71.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100" w:endChars="100"/>
                      <w:rPr>
                        <w:rStyle w:val="PageNumber"/>
                        <w:rFonts w:ascii="宋体;SimSun" w:hAnsi="宋体;SimSun" w:eastAsia="宋体;SimSun" w:cs="宋体;SimSun" w:hint="eastAsia"/>
                        <w:sz w:val="28"/>
                        <w:szCs w:val="28"/>
                      </w:rPr>
                    </w:pPr>
                    <w:r>
                      <w:rPr>
                        <w:rStyle w:val="PageNumber"/>
                        <w:rFonts w:eastAsia="宋体;SimSun" w:cs="宋体;SimSun" w:hint="eastAsia" w:ascii="宋体;SimSun" w:hAnsi="宋体;SimSun"/>
                        <w:sz w:val="28"/>
                        <w:szCs w:val="28"/>
                      </w:rPr>
                      <w:t xml:space="preserve">— </w:t>
                    </w:r>
                    <w:r>
                      <w:rPr>
                        <w:rStyle w:val="PageNumber"/>
                        <w:rFonts w:eastAsia="宋体;SimSun" w:cs="宋体;SimSun" w:ascii="宋体;SimSun" w:hAnsi="宋体;SimSun"/>
                        <w:sz w:val="28"/>
                        <w:szCs w:val="28"/>
                      </w:rPr>
                      <w:fldChar w:fldCharType="begin"/>
                    </w:r>
                    <w:r>
                      <w:rPr>
                        <w:rStyle w:val="PageNumber"/>
                        <w:rFonts w:eastAsia="宋体;SimSun" w:cs="宋体;SimSun" w:ascii="宋体;SimSun" w:hAnsi="宋体;SimSun"/>
                        <w:sz w:val="28"/>
                        <w:szCs w:val="28"/>
                      </w:rPr>
                      <w:instrText xml:space="preserve"> PAGE </w:instrText>
                    </w:r>
                    <w:r>
                      <w:rPr>
                        <w:rStyle w:val="PageNumber"/>
                        <w:rFonts w:eastAsia="宋体;SimSun" w:cs="宋体;SimSun" w:ascii="宋体;SimSun" w:hAnsi="宋体;SimSun"/>
                        <w:sz w:val="28"/>
                        <w:szCs w:val="28"/>
                      </w:rPr>
                      <w:fldChar w:fldCharType="separate"/>
                    </w:r>
                    <w:r>
                      <w:rPr>
                        <w:rStyle w:val="PageNumber"/>
                        <w:rFonts w:eastAsia="宋体;SimSun" w:cs="宋体;SimSun" w:ascii="宋体;SimSun" w:hAnsi="宋体;SimSun"/>
                        <w:sz w:val="28"/>
                        <w:szCs w:val="28"/>
                      </w:rPr>
                      <w:t>14</w:t>
                    </w:r>
                    <w:r>
                      <w:rPr>
                        <w:rStyle w:val="PageNumber"/>
                        <w:rFonts w:eastAsia="宋体;SimSun" w:cs="宋体;SimSun" w:ascii="宋体;SimSun" w:hAnsi="宋体;SimSun"/>
                        <w:sz w:val="28"/>
                        <w:szCs w:val="28"/>
                      </w:rPr>
                      <w:fldChar w:fldCharType="end"/>
                    </w:r>
                    <w:r>
                      <w:rPr>
                        <w:rStyle w:val="PageNumber"/>
                        <w:rFonts w:eastAsia="宋体;SimSun" w:cs="宋体;SimSun" w:hint="eastAsia" w:ascii="宋体;SimSun" w:hAnsi="宋体;SimSun"/>
                        <w:sz w:val="28"/>
                        <w:szCs w:val="28"/>
                      </w:rPr>
                      <w:t xml:space="preserve"> —</w:t>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32"/>
      <w:lang w:bidi="ar-SA" w:val="en-US" w:eastAsia="zh-CN"/>
    </w:rPr>
  </w:style>
  <w:style w:type="character" w:styleId="WW8Num1z0">
    <w:name w:val="WW8Num1z0"/>
    <w:qFormat/>
    <w:rPr>
      <w:rFonts w:hint="eastAsia"/>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WW8Num7z0">
    <w:name w:val="WW8Num7z0"/>
    <w:qFormat/>
    <w:rPr>
      <w:rFonts w:ascii="仿宋" w:hAnsi="仿宋" w:eastAsia="仿宋" w:cs="Times New Roman"/>
    </w:rPr>
  </w:style>
  <w:style w:type="character" w:styleId="WW8Num8z0">
    <w:name w:val="WW8Num8z0"/>
    <w:qFormat/>
    <w:rPr/>
  </w:style>
  <w:style w:type="character" w:styleId="WW8Num9z0">
    <w:name w:val="WW8Num9z0"/>
    <w:qFormat/>
    <w:rPr/>
  </w:style>
  <w:style w:type="character" w:styleId="WW8Num10z0">
    <w:name w:val="WW8Num10z0"/>
    <w:qFormat/>
    <w:rPr>
      <w:rFonts w:hint="eastAsia"/>
    </w:rPr>
  </w:style>
  <w:style w:type="character" w:styleId="WW8Num11z0">
    <w:name w:val="WW8Num11z0"/>
    <w:qFormat/>
    <w:rPr/>
  </w:style>
  <w:style w:type="character" w:styleId="Style14">
    <w:name w:val="默认段落字体"/>
    <w:qFormat/>
    <w:rPr/>
  </w:style>
  <w:style w:type="character" w:styleId="PageNumber">
    <w:name w:val="page number"/>
    <w:basedOn w:val="Style14"/>
    <w:rPr/>
  </w:style>
  <w:style w:type="character" w:styleId="Emphasis">
    <w:name w:val="Emphasis"/>
    <w:qFormat/>
    <w:rPr>
      <w:i w:val="false"/>
      <w:iCs w:val="false"/>
      <w:color w:val="CC0000"/>
    </w:rPr>
  </w:style>
  <w:style w:type="character" w:styleId="Hyperlink">
    <w:name w:val="Hyperlink"/>
    <w:basedOn w:val="Style14"/>
    <w:rPr>
      <w:color w:val="0000FF"/>
      <w:u w:val="single"/>
    </w:rPr>
  </w:style>
  <w:style w:type="character" w:styleId="CharChar">
    <w:name w:val=" Char Char"/>
    <w:basedOn w:val="Style14"/>
    <w:qFormat/>
    <w:rPr>
      <w:rFonts w:eastAsia="仿宋_GB2312"/>
      <w:kern w:val="2"/>
      <w:sz w:val="18"/>
      <w:szCs w:val="18"/>
      <w:lang w:bidi="ar-SA"/>
    </w:rPr>
  </w:style>
  <w:style w:type="character" w:styleId="CharChar1">
    <w:name w:val=" Char Char1"/>
    <w:basedOn w:val="Style14"/>
    <w:qFormat/>
    <w:rPr>
      <w:rFonts w:ascii="宋体;SimSun" w:hAnsi="宋体;SimSun" w:eastAsia="宋体;SimSun" w:cs="Courier New"/>
      <w:kern w:val="2"/>
      <w:sz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5">
    <w:name w:val="普通(网站)"/>
    <w:basedOn w:val="Normal"/>
    <w:qFormat/>
    <w:pPr>
      <w:widowControl/>
      <w:spacing w:before="280" w:after="280"/>
      <w:jc w:val="start"/>
    </w:pPr>
    <w:rPr>
      <w:rFonts w:ascii="宋体;SimSun" w:hAnsi="宋体;SimSun" w:eastAsia="宋体;SimSun" w:cs="宋体;SimSun"/>
      <w:color w:val="000000"/>
      <w:kern w:val="0"/>
      <w:sz w:val="24"/>
      <w:szCs w:val="24"/>
    </w:rPr>
  </w:style>
  <w:style w:type="paragraph" w:styleId="2">
    <w:name w:val="正文文本缩进 2"/>
    <w:basedOn w:val="Normal"/>
    <w:qFormat/>
    <w:pPr>
      <w:ind w:firstLineChars="200" w:startChars="0" w:start="0" w:endChars="0" w:end="0"/>
    </w:pPr>
    <w:rPr>
      <w:spacing w:val="-4"/>
      <w:szCs w:val="24"/>
    </w:rPr>
  </w:style>
  <w:style w:type="paragraph" w:styleId="Char">
    <w:name w:val="Char"/>
    <w:basedOn w:val="Normal"/>
    <w:qFormat/>
    <w:pPr>
      <w:tabs>
        <w:tab w:val="clear" w:pos="420"/>
        <w:tab w:val="left" w:pos="360" w:leader="none"/>
      </w:tabs>
      <w:ind w:hangingChars="200" w:startChars="0" w:start="0" w:endChars="0" w:end="0"/>
    </w:pPr>
    <w:rPr>
      <w:rFonts w:eastAsia="宋体;SimSun"/>
      <w:sz w:val="24"/>
    </w:rPr>
  </w:style>
  <w:style w:type="paragraph" w:styleId="21">
    <w:name w:val="正文文本 2"/>
    <w:basedOn w:val="Normal"/>
    <w:qFormat/>
    <w:pPr>
      <w:spacing w:lineRule="auto" w:line="480" w:before="0" w:after="120"/>
    </w:pPr>
    <w:rPr>
      <w:rFonts w:eastAsia="宋体;SimSun"/>
      <w:sz w:val="21"/>
      <w:szCs w:val="24"/>
    </w:rPr>
  </w:style>
  <w:style w:type="paragraph" w:styleId="Style16">
    <w:name w:val="日期"/>
    <w:basedOn w:val="Normal"/>
    <w:next w:val="Normal"/>
    <w:qFormat/>
    <w:pPr>
      <w:ind w:firstLineChars="0" w:firstLine="0" w:startChars="2500" w:endChars="0" w:end="0"/>
    </w:pPr>
    <w:rPr/>
  </w:style>
  <w:style w:type="paragraph" w:styleId="Style17">
    <w:name w:val="文档结构图"/>
    <w:basedOn w:val="Normal"/>
    <w:qFormat/>
    <w:pPr>
      <w:shd w:fill="000080" w:val="clear"/>
    </w:pPr>
    <w:rPr/>
  </w:style>
  <w:style w:type="paragraph" w:styleId="Char1">
    <w:name w:val=" Char"/>
    <w:basedOn w:val="Style17"/>
    <w:qFormat/>
    <w:pPr>
      <w:spacing w:lineRule="exact" w:line="436"/>
      <w:ind w:hanging="0" w:start="357" w:end="0"/>
      <w:jc w:val="start"/>
      <w:outlineLvl w:val="3"/>
    </w:pPr>
    <w:rPr>
      <w:rFonts w:ascii="Tahoma" w:hAnsi="Tahoma" w:cs="Tahoma"/>
      <w:b/>
      <w:sz w:val="24"/>
    </w:rPr>
  </w:style>
  <w:style w:type="paragraph" w:styleId="ParaCharCharCharCharCharCharCharCharCharCharCharCharCharCharCharChar">
    <w:name w:val="默认段落字体 Para Char Char Char Char Char Char Char Char Char Char Char Char Char Char Char Char"/>
    <w:basedOn w:val="Normal"/>
    <w:qFormat/>
    <w:pPr/>
    <w:rPr>
      <w:rFonts w:eastAsia="宋体;SimSun"/>
      <w:sz w:val="21"/>
      <w:szCs w:val="20"/>
    </w:rPr>
  </w:style>
  <w:style w:type="paragraph" w:styleId="Style18">
    <w:name w:val="批注框文本"/>
    <w:basedOn w:val="Normal"/>
    <w:qFormat/>
    <w:pPr/>
    <w:rPr>
      <w:sz w:val="18"/>
      <w:szCs w:val="18"/>
    </w:rPr>
  </w:style>
  <w:style w:type="paragraph" w:styleId="ParaCharCharCharChar">
    <w:name w:val="默认段落字体 Para Char Char Char Char"/>
    <w:basedOn w:val="Normal"/>
    <w:qFormat/>
    <w:pPr/>
    <w:rPr>
      <w:rFonts w:eastAsia="宋体;SimSun"/>
      <w:sz w:val="21"/>
      <w:szCs w:val="20"/>
    </w:rPr>
  </w:style>
  <w:style w:type="paragraph" w:styleId="p0">
    <w:name w:val="p0"/>
    <w:basedOn w:val="Normal"/>
    <w:qFormat/>
    <w:pPr>
      <w:widowControl/>
    </w:pPr>
    <w:rPr>
      <w:rFonts w:eastAsia="宋体;SimSun"/>
      <w:kern w:val="0"/>
      <w:sz w:val="21"/>
      <w:szCs w:val="21"/>
    </w:rPr>
  </w:style>
  <w:style w:type="paragraph" w:styleId="ListParagraph">
    <w:name w:val="List Paragraph"/>
    <w:basedOn w:val="Normal"/>
    <w:qFormat/>
    <w:pPr>
      <w:ind w:firstLineChars="200" w:startChars="0" w:start="0" w:endChars="0" w:end="0"/>
    </w:pPr>
    <w:rPr>
      <w:rFonts w:ascii="Calibri" w:hAnsi="Calibri" w:eastAsia="宋体;SimSun" w:cs="Calibri"/>
      <w:sz w:val="21"/>
      <w:szCs w:val="22"/>
    </w:rPr>
  </w:style>
  <w:style w:type="paragraph" w:styleId="BodyTextIndent">
    <w:name w:val="Body Text Indent"/>
    <w:basedOn w:val="Normal"/>
    <w:pPr>
      <w:spacing w:lineRule="auto" w:line="360"/>
      <w:ind w:firstLineChars="200" w:startChars="0" w:start="0" w:endChars="0" w:end="0"/>
    </w:pPr>
    <w:rPr>
      <w:rFonts w:ascii="宋体;SimSun" w:hAnsi="宋体;SimSun" w:eastAsia="宋体;SimSun" w:cs="宋体;SimSun"/>
      <w:sz w:val="28"/>
      <w:szCs w:val="20"/>
    </w:rPr>
  </w:style>
  <w:style w:type="paragraph" w:styleId="Char11">
    <w:name w:val="Char1"/>
    <w:basedOn w:val="Normal"/>
    <w:qFormat/>
    <w:pPr>
      <w:tabs>
        <w:tab w:val="clear" w:pos="420"/>
        <w:tab w:val="left" w:pos="360" w:leader="none"/>
      </w:tabs>
    </w:pPr>
    <w:rPr>
      <w:szCs w:val="20"/>
    </w:rPr>
  </w:style>
  <w:style w:type="paragraph" w:styleId="p15">
    <w:name w:val="p15"/>
    <w:basedOn w:val="Normal"/>
    <w:qFormat/>
    <w:pPr>
      <w:widowControl/>
      <w:spacing w:before="280" w:after="280"/>
      <w:jc w:val="start"/>
    </w:pPr>
    <w:rPr>
      <w:rFonts w:ascii="宋体;SimSun" w:hAnsi="宋体;SimSun" w:eastAsia="宋体;SimSun" w:cs="宋体;SimSun"/>
      <w:kern w:val="0"/>
      <w:sz w:val="24"/>
      <w:szCs w:val="24"/>
    </w:rPr>
  </w:style>
  <w:style w:type="paragraph" w:styleId="CharCharCharChar">
    <w:name w:val="Char Char Char Char"/>
    <w:basedOn w:val="Normal"/>
    <w:qFormat/>
    <w:pPr/>
    <w:rPr>
      <w:rFonts w:eastAsia="宋体;SimSun"/>
      <w:sz w:val="21"/>
      <w:szCs w:val="24"/>
    </w:rPr>
  </w:style>
  <w:style w:type="paragraph" w:styleId="Style19">
    <w:name w:val="纯文本"/>
    <w:basedOn w:val="Normal"/>
    <w:qFormat/>
    <w:pPr/>
    <w:rPr>
      <w:rFonts w:ascii="宋体;SimSun" w:hAnsi="宋体;SimSun" w:eastAsia="宋体;SimSun" w:cs="Courier New"/>
      <w:sz w:val="21"/>
      <w:szCs w:val="20"/>
    </w:rPr>
  </w:style>
  <w:style w:type="paragraph" w:styleId="CharCharCharCharCharCharChar">
    <w:name w:val=" Char Char Char Char Char Char Char"/>
    <w:basedOn w:val="Normal"/>
    <w:qFormat/>
    <w:pPr/>
    <w:rPr>
      <w:rFonts w:ascii="Tahoma" w:hAnsi="Tahoma" w:eastAsia="Tahoma" w:cs="Tahoma" w:hint="eastAsia"/>
      <w:sz w:val="24"/>
      <w:szCs w:val="20"/>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2019-07-29T15:37:00Z</dcterms:created>
  <dc:creator>ch</dc:creator>
  <dc:description/>
  <cp:keywords/>
  <dc:language>en-US</dc:language>
  <cp:lastModifiedBy>梁艳</cp:lastModifiedBy>
  <cp:lastPrinted>2019-07-25T17:02:00Z</cp:lastPrinted>
  <dcterms:modified xsi:type="dcterms:W3CDTF">2019-07-29T15:58:00Z</dcterms:modified>
  <cp:revision>4</cp:revision>
  <dc:subject/>
  <dc:title>板心</dc:title>
</cp:coreProperties>
</file>