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方正小标宋简体" w:hAnsi="方正小标宋简体" w:eastAsia="方正小标宋简体" w:cs="宋体;SimSun" w:hint="eastAsia"/>
          <w:color w:val="000000"/>
          <w:szCs w:val="32"/>
        </w:rPr>
      </w:pPr>
      <w:r>
        <w:rPr>
          <w:rFonts w:eastAsia="方正小标宋简体" w:cs="宋体;SimSun" w:hint="eastAsia" w:ascii="方正小标宋简体" w:hAnsi="方正小标宋简体"/>
          <w:color w:val="000000"/>
          <w:szCs w:val="32"/>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w:t>
      </w:r>
    </w:p>
    <w:p>
      <w:pPr>
        <w:pStyle w:val="Normal"/>
        <w:spacing w:lineRule="exact" w:line="680"/>
        <w:jc w:val="center"/>
        <w:rPr/>
      </w:pPr>
      <w:r>
        <w:rPr>
          <w:rFonts w:ascii="方正小标宋简体" w:hAnsi="方正小标宋简体" w:cs="宋体;SimSun" w:hint="eastAsia" w:eastAsia="方正小标宋简体"/>
          <w:color w:val="000000"/>
          <w:sz w:val="44"/>
          <w:szCs w:val="36"/>
        </w:rPr>
        <w:t>关于批准</w:t>
      </w:r>
      <w:r>
        <w:rPr>
          <w:rFonts w:ascii="方正小标宋简体" w:hAnsi="方正小标宋简体" w:hint="eastAsia" w:eastAsia="方正小标宋简体"/>
          <w:color w:val="000000"/>
          <w:sz w:val="44"/>
        </w:rPr>
        <w:t>《</w:t>
      </w:r>
      <w:r>
        <w:rPr>
          <w:rFonts w:hint="eastAsia" w:eastAsia="方正小标宋简体"/>
          <w:color w:val="000000"/>
          <w:sz w:val="44"/>
        </w:rPr>
        <w:t>铜陵市工业遗产保护与利用</w:t>
      </w:r>
      <w:r>
        <w:rPr>
          <w:rFonts w:eastAsia="方正小标宋简体"/>
          <w:color w:val="000000"/>
          <w:sz w:val="44"/>
        </w:rPr>
        <w:t>条例</w:t>
      </w:r>
      <w:r>
        <w:rPr>
          <w:rFonts w:ascii="方正小标宋简体" w:hAnsi="方正小标宋简体" w:hint="eastAsia" w:eastAsia="方正小标宋简体"/>
          <w:color w:val="000000"/>
          <w:sz w:val="44"/>
        </w:rPr>
        <w:t>》</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的决议</w:t>
      </w:r>
    </w:p>
    <w:p>
      <w:pPr>
        <w:pStyle w:val="Normal"/>
        <w:jc w:val="center"/>
        <w:rPr>
          <w:rFonts w:ascii="方正小标宋简体" w:hAnsi="方正小标宋简体" w:eastAsia="方正小标宋简体" w:cs="宋体;SimSun" w:hint="eastAsia"/>
          <w:color w:val="000000"/>
          <w:sz w:val="44"/>
          <w:szCs w:val="32"/>
        </w:rPr>
      </w:pPr>
      <w:r>
        <w:rPr>
          <w:rFonts w:eastAsia="方正小标宋简体" w:cs="宋体;SimSun" w:hint="eastAsia" w:ascii="方正小标宋简体" w:hAnsi="方正小标宋简体"/>
          <w:color w:val="000000"/>
          <w:sz w:val="44"/>
          <w:szCs w:val="32"/>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9</w:t>
      </w:r>
      <w:r>
        <w:rPr>
          <w:rFonts w:eastAsia="楷体_GB2312"/>
          <w:color w:val="000000"/>
          <w:szCs w:val="30"/>
        </w:rPr>
        <w:t>月</w:t>
      </w:r>
      <w:r>
        <w:rPr>
          <w:rFonts w:eastAsia="楷体_GB2312" w:hint="eastAsia"/>
          <w:color w:val="000000"/>
          <w:szCs w:val="30"/>
        </w:rPr>
        <w:t>29</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常务委员会第四十次会议通过）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四十</w:t>
      </w:r>
      <w:r>
        <w:rPr>
          <w:rFonts w:ascii="仿宋_GB2312" w:hAnsi="仿宋_GB2312"/>
          <w:color w:val="000000"/>
        </w:rPr>
        <w:t>次会议审查了</w:t>
      </w:r>
      <w:r>
        <w:rPr>
          <w:rFonts w:ascii="仿宋_GB2312" w:hAnsi="仿宋_GB2312" w:hint="eastAsia"/>
          <w:color w:val="000000"/>
        </w:rPr>
        <w:t>《铜陵市工业遗产保护与利用条例》</w:t>
      </w:r>
      <w:r>
        <w:rPr>
          <w:rFonts w:ascii="仿宋_GB2312" w:hAnsi="仿宋_GB2312"/>
          <w:color w:val="000000"/>
        </w:rPr>
        <w:t>，决定予以批准，由</w:t>
      </w:r>
      <w:r>
        <w:rPr>
          <w:rFonts w:ascii="仿宋_GB2312" w:hAnsi="仿宋_GB2312" w:hint="eastAsia"/>
          <w:color w:val="000000"/>
        </w:rPr>
        <w:t>铜陵</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ind w:firstLineChars="200" w:startChars="0" w:start="0" w:endChars="0" w:end="0"/>
        <w:rPr>
          <w:rFonts w:hint="eastAsia"/>
          <w:bCs/>
          <w:color w:val="000000"/>
        </w:rPr>
      </w:pPr>
      <w:r>
        <w:rPr>
          <w:rFonts w:hint="eastAsia"/>
          <w:bCs/>
          <w:color w:val="000000"/>
        </w:rPr>
      </w:r>
    </w:p>
    <w:p>
      <w:pPr>
        <w:pStyle w:val="Normal"/>
        <w:spacing w:lineRule="exact" w:line="640"/>
        <w:jc w:val="center"/>
        <w:rPr>
          <w:rFonts w:ascii="方正小标宋简体" w:hAnsi="方正小标宋简体" w:eastAsia="方正小标宋简体" w:hint="eastAsia"/>
          <w:bCs/>
          <w:sz w:val="44"/>
          <w:szCs w:val="44"/>
        </w:rPr>
      </w:pPr>
      <w:r>
        <w:rPr>
          <w:rFonts w:ascii="方正小标宋简体" w:hAnsi="方正小标宋简体" w:hint="eastAsia" w:eastAsia="方正小标宋简体"/>
          <w:bCs/>
          <w:sz w:val="44"/>
          <w:szCs w:val="44"/>
        </w:rPr>
        <w:t>铜陵市工业遗产保护与利用条例</w:t>
      </w:r>
    </w:p>
    <w:p>
      <w:pPr>
        <w:pStyle w:val="Normal"/>
        <w:jc w:val="center"/>
        <w:rPr>
          <w:rFonts w:ascii="方正小标宋简体" w:hAnsi="方正小标宋简体" w:eastAsia="方正小标宋简体" w:hint="eastAsia"/>
          <w:bCs/>
          <w:sz w:val="44"/>
          <w:szCs w:val="44"/>
        </w:rPr>
      </w:pPr>
      <w:r>
        <w:rPr>
          <w:rFonts w:eastAsia="方正小标宋简体" w:hint="eastAsia" w:ascii="方正小标宋简体" w:hAnsi="方正小标宋简体"/>
          <w:bCs/>
          <w:sz w:val="44"/>
          <w:szCs w:val="44"/>
        </w:rPr>
      </w:r>
    </w:p>
    <w:p>
      <w:pPr>
        <w:pStyle w:val="Normal"/>
        <w:ind w:firstLineChars="200" w:startChars="0" w:start="0" w:endChars="0" w:end="0"/>
        <w:rPr/>
      </w:pPr>
      <w:r>
        <w:rPr>
          <w:rFonts w:eastAsia="楷体_GB2312"/>
          <w:bCs/>
        </w:rPr>
        <w:t>（</w:t>
      </w:r>
      <w:r>
        <w:rPr>
          <w:rFonts w:eastAsia="楷体_GB2312"/>
          <w:bCs/>
        </w:rPr>
        <w:t>2017</w:t>
      </w:r>
      <w:r>
        <w:rPr>
          <w:rFonts w:eastAsia="楷体_GB2312"/>
          <w:bCs/>
        </w:rPr>
        <w:t>年</w:t>
      </w:r>
      <w:r>
        <w:rPr>
          <w:rFonts w:eastAsia="楷体_GB2312"/>
          <w:bCs/>
        </w:rPr>
        <w:t>8</w:t>
      </w:r>
      <w:r>
        <w:rPr>
          <w:rFonts w:eastAsia="楷体_GB2312"/>
          <w:bCs/>
        </w:rPr>
        <w:t>月</w:t>
      </w:r>
      <w:r>
        <w:rPr>
          <w:rFonts w:eastAsia="楷体_GB2312"/>
          <w:bCs/>
        </w:rPr>
        <w:t>24</w:t>
      </w:r>
      <w:r>
        <w:rPr>
          <w:rFonts w:eastAsia="楷体_GB2312"/>
          <w:bCs/>
        </w:rPr>
        <w:t>日铜陵市第十五届人民代表大会常务委员会第三十三次会议通过</w:t>
      </w:r>
      <w:r>
        <w:rPr>
          <w:rFonts w:hint="eastAsia" w:eastAsia="楷体_GB2312"/>
          <w:bCs/>
        </w:rPr>
        <w:t xml:space="preserve">  </w:t>
      </w:r>
      <w:r>
        <w:rPr>
          <w:rFonts w:eastAsia="楷体_GB2312" w:hint="eastAsia"/>
          <w:bCs/>
          <w:spacing w:val="-4"/>
        </w:rPr>
        <w:t>2017</w:t>
      </w:r>
      <w:r>
        <w:rPr>
          <w:rFonts w:hint="eastAsia" w:eastAsia="楷体_GB2312"/>
          <w:bCs/>
          <w:spacing w:val="-4"/>
        </w:rPr>
        <w:t>年</w:t>
      </w:r>
      <w:r>
        <w:rPr>
          <w:rFonts w:eastAsia="楷体_GB2312" w:hint="eastAsia"/>
          <w:bCs/>
          <w:spacing w:val="-4"/>
        </w:rPr>
        <w:t>9</w:t>
      </w:r>
      <w:r>
        <w:rPr>
          <w:rFonts w:hint="eastAsia" w:eastAsia="楷体_GB2312"/>
          <w:bCs/>
          <w:spacing w:val="-4"/>
        </w:rPr>
        <w:t>月</w:t>
      </w:r>
      <w:r>
        <w:rPr>
          <w:rFonts w:eastAsia="楷体_GB2312" w:hint="eastAsia"/>
          <w:bCs/>
          <w:spacing w:val="-4"/>
        </w:rPr>
        <w:t>29</w:t>
      </w:r>
      <w:r>
        <w:rPr>
          <w:rFonts w:hint="eastAsia" w:eastAsia="楷体_GB2312"/>
          <w:bCs/>
          <w:spacing w:val="-4"/>
        </w:rPr>
        <w:t>日安徽省第十二届人民代表大会常务委员会第四十次会议批准</w:t>
      </w:r>
      <w:r>
        <w:rPr>
          <w:rFonts w:eastAsia="楷体_GB2312"/>
          <w:bCs/>
        </w:rPr>
        <w:t>）</w:t>
      </w:r>
    </w:p>
    <w:p>
      <w:pPr>
        <w:pStyle w:val="Normal"/>
        <w:ind w:firstLineChars="200" w:startChars="0" w:start="0" w:endChars="0" w:end="0"/>
        <w:jc w:val="center"/>
        <w:rPr>
          <w:rFonts w:eastAsia="楷体_GB2312"/>
          <w:bCs/>
        </w:rPr>
      </w:pPr>
      <w:r>
        <w:rPr>
          <w:rFonts w:eastAsia="楷体_GB2312"/>
          <w:bCs/>
        </w:rPr>
      </w:r>
    </w:p>
    <w:p>
      <w:pPr>
        <w:pStyle w:val="Normal"/>
        <w:jc w:val="center"/>
        <w:rPr/>
      </w:pPr>
      <w:r>
        <w:rPr>
          <w:rFonts w:ascii="黑体;SimHei" w:hAnsi="黑体;SimHei" w:hint="eastAsia" w:eastAsia="黑体;SimHei"/>
          <w:bCs/>
        </w:rPr>
        <w:t>第一章  总    则</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ind w:firstLineChars="200" w:startChars="0" w:start="0" w:endChars="0" w:end="0"/>
        <w:rPr/>
      </w:pPr>
      <w:r>
        <w:rPr>
          <w:rFonts w:ascii="黑体;SimHei" w:hAnsi="黑体;SimHei" w:hint="eastAsia" w:eastAsia="黑体;SimHei"/>
          <w:bCs/>
        </w:rPr>
        <w:t>第一条</w:t>
      </w:r>
      <w:r>
        <w:rPr>
          <w:rFonts w:hint="eastAsia"/>
          <w:bCs/>
        </w:rPr>
        <w:t>　为了加强对工业遗产的保护与利用，传承和展示铜陵工业文明，弘扬历史文化，根据有关法律、行政法规，结合本市实际，制定本条例。</w:t>
      </w:r>
    </w:p>
    <w:p>
      <w:pPr>
        <w:pStyle w:val="Normal"/>
        <w:ind w:firstLineChars="200" w:startChars="0" w:start="0" w:endChars="0" w:end="0"/>
        <w:rPr/>
      </w:pPr>
      <w:r>
        <w:rPr>
          <w:rFonts w:ascii="黑体;SimHei" w:hAnsi="黑体;SimHei" w:hint="eastAsia" w:eastAsia="黑体;SimHei"/>
          <w:bCs/>
        </w:rPr>
        <w:t>第二条</w:t>
      </w:r>
      <w:r>
        <w:rPr>
          <w:rFonts w:hint="eastAsia"/>
          <w:bCs/>
        </w:rPr>
        <w:t>　本条例适用于本市行政区域内工业遗产的普查、认定、保护、利用及其监督管理活动。</w:t>
      </w:r>
    </w:p>
    <w:p>
      <w:pPr>
        <w:pStyle w:val="Normal"/>
        <w:ind w:firstLineChars="200" w:startChars="0" w:start="0" w:endChars="0" w:end="0"/>
        <w:rPr>
          <w:rFonts w:hint="eastAsia"/>
          <w:bCs/>
          <w:spacing w:val="-4"/>
        </w:rPr>
      </w:pPr>
      <w:r>
        <w:rPr>
          <w:rFonts w:hint="eastAsia"/>
          <w:bCs/>
          <w:spacing w:val="-4"/>
        </w:rPr>
        <w:t>对已认定为文物的工业遗产，适用文物保护法律法规的规定。</w:t>
      </w:r>
    </w:p>
    <w:p>
      <w:pPr>
        <w:pStyle w:val="Normal"/>
        <w:ind w:firstLineChars="200" w:startChars="0" w:start="0" w:endChars="0" w:end="0"/>
        <w:rPr/>
      </w:pPr>
      <w:r>
        <w:rPr>
          <w:rFonts w:ascii="黑体;SimHei" w:hAnsi="黑体;SimHei" w:hint="eastAsia" w:eastAsia="黑体;SimHei"/>
          <w:bCs/>
        </w:rPr>
        <w:t>第三条</w:t>
      </w:r>
      <w:r>
        <w:rPr>
          <w:rFonts w:hint="eastAsia"/>
          <w:bCs/>
        </w:rPr>
        <w:t>　本条例所称工业遗产，是指铜陵历史上具有时代特征和工业风貌特色，承载公众认同和地域归属感，反映铜陵工业体系和城市发展过程，具有历史、科技、文化、经济、社会教育等价值的工业遗存。</w:t>
      </w:r>
    </w:p>
    <w:p>
      <w:pPr>
        <w:pStyle w:val="Normal"/>
        <w:ind w:firstLineChars="200" w:startChars="0" w:start="0" w:endChars="0" w:end="0"/>
        <w:rPr/>
      </w:pPr>
      <w:r>
        <w:rPr>
          <w:rFonts w:ascii="黑体;SimHei" w:hAnsi="黑体;SimHei" w:hint="eastAsia" w:eastAsia="黑体;SimHei"/>
          <w:bCs/>
        </w:rPr>
        <w:t>第四条</w:t>
      </w:r>
      <w:r>
        <w:rPr>
          <w:rFonts w:hint="eastAsia"/>
          <w:bCs/>
        </w:rPr>
        <w:t>　工业遗产的保护与利用，应当遵循科学规划、属地管理、有效保护、合理利用的原则。</w:t>
      </w:r>
    </w:p>
    <w:p>
      <w:pPr>
        <w:pStyle w:val="Normal"/>
        <w:ind w:firstLineChars="200" w:startChars="0" w:start="0" w:endChars="0" w:end="0"/>
        <w:rPr/>
      </w:pPr>
      <w:r>
        <w:rPr>
          <w:rFonts w:ascii="黑体;SimHei" w:hAnsi="黑体;SimHei" w:hint="eastAsia" w:eastAsia="黑体;SimHei"/>
          <w:bCs/>
        </w:rPr>
        <w:t>第五条</w:t>
      </w:r>
      <w:r>
        <w:rPr>
          <w:rFonts w:hint="eastAsia"/>
          <w:bCs/>
        </w:rPr>
        <w:t>　市和县、区人民政府负责本行政区域内工业遗产保护与利用工作，应当把工业遗产保护与利用纳入本级国民经济与社会发展规划，将保护经费列入本级财政预算。</w:t>
      </w:r>
    </w:p>
    <w:p>
      <w:pPr>
        <w:pStyle w:val="Normal"/>
        <w:ind w:firstLineChars="200" w:startChars="0" w:start="0" w:endChars="0" w:end="0"/>
        <w:rPr/>
      </w:pPr>
      <w:r>
        <w:rPr>
          <w:rFonts w:ascii="黑体;SimHei" w:hAnsi="黑体;SimHei" w:hint="eastAsia" w:eastAsia="黑体;SimHei"/>
          <w:bCs/>
        </w:rPr>
        <w:t>第六条</w:t>
      </w:r>
      <w:r>
        <w:rPr>
          <w:rFonts w:hint="eastAsia"/>
          <w:bCs/>
        </w:rPr>
        <w:t>　市和县、区人民政府文物行政主管部门负责本行政区域内工业遗产的普查、认定工作，并负责对保护与利用工作实施监督管理。</w:t>
      </w:r>
    </w:p>
    <w:p>
      <w:pPr>
        <w:pStyle w:val="Normal"/>
        <w:ind w:firstLineChars="200" w:startChars="0" w:start="0" w:endChars="0" w:end="0"/>
        <w:rPr/>
      </w:pPr>
      <w:r>
        <w:rPr>
          <w:rFonts w:hint="eastAsia"/>
          <w:bCs/>
        </w:rPr>
        <w:t>城乡规划、发展改革、经信、财政（国资）、科技、住房建</w:t>
      </w:r>
      <w:r>
        <w:rPr>
          <w:rFonts w:hint="eastAsia"/>
          <w:bCs/>
          <w:spacing w:val="-4"/>
        </w:rPr>
        <w:t>设、国土资源、环境保护、公安、城市管理、人防、档案管理等有关部门，应当按照各自职责，共同做好工业遗产保护与利用工</w:t>
      </w:r>
      <w:r>
        <w:rPr>
          <w:rFonts w:hint="eastAsia"/>
          <w:bCs/>
        </w:rPr>
        <w:t>作。</w:t>
      </w:r>
    </w:p>
    <w:p>
      <w:pPr>
        <w:pStyle w:val="Normal"/>
        <w:ind w:firstLineChars="200" w:startChars="0" w:start="0" w:endChars="0" w:end="0"/>
        <w:rPr/>
      </w:pPr>
      <w:r>
        <w:rPr>
          <w:rFonts w:hint="eastAsia"/>
          <w:bCs/>
          <w:spacing w:val="-4"/>
        </w:rPr>
        <w:t>工业遗产所在地的乡镇人民政府、街道办事处、村（居）民委员会应当协助有关部门做好本辖区工业遗产的保护与利用工</w:t>
      </w:r>
      <w:r>
        <w:rPr>
          <w:rFonts w:hint="eastAsia"/>
          <w:bCs/>
        </w:rPr>
        <w:t>作。</w:t>
      </w:r>
    </w:p>
    <w:p>
      <w:pPr>
        <w:pStyle w:val="Normal"/>
        <w:ind w:firstLineChars="200" w:startChars="0" w:start="0" w:endChars="0" w:end="0"/>
        <w:rPr/>
      </w:pPr>
      <w:r>
        <w:rPr>
          <w:rFonts w:ascii="黑体;SimHei" w:hAnsi="黑体;SimHei" w:hint="eastAsia" w:eastAsia="黑体;SimHei"/>
          <w:bCs/>
        </w:rPr>
        <w:t>第七条</w:t>
      </w:r>
      <w:r>
        <w:rPr>
          <w:rFonts w:hint="eastAsia"/>
          <w:bCs/>
        </w:rPr>
        <w:t>　工业遗产的所有权人、经营管理人和使用人应当对工业遗产承担日常维护管理等保护主体责任。</w:t>
      </w:r>
    </w:p>
    <w:p>
      <w:pPr>
        <w:pStyle w:val="Normal"/>
        <w:ind w:firstLineChars="200" w:startChars="0" w:start="0" w:endChars="0" w:end="0"/>
        <w:rPr/>
      </w:pPr>
      <w:r>
        <w:rPr>
          <w:rFonts w:ascii="黑体;SimHei" w:hAnsi="黑体;SimHei" w:hint="eastAsia" w:eastAsia="黑体;SimHei"/>
          <w:bCs/>
        </w:rPr>
        <w:t>第八条</w:t>
      </w:r>
      <w:r>
        <w:rPr>
          <w:rFonts w:hint="eastAsia"/>
          <w:bCs/>
        </w:rPr>
        <w:t>　市和县、区人民政府及其有关部门应当加强工业遗产保护的宣传教育，增强公民工业遗产保护意识。</w:t>
      </w:r>
    </w:p>
    <w:p>
      <w:pPr>
        <w:pStyle w:val="Normal"/>
        <w:ind w:firstLineChars="200" w:startChars="0" w:start="0" w:endChars="0" w:end="0"/>
        <w:rPr>
          <w:rFonts w:hint="eastAsia"/>
          <w:bCs/>
        </w:rPr>
      </w:pPr>
      <w:r>
        <w:rPr>
          <w:rFonts w:hint="eastAsia"/>
          <w:bCs/>
        </w:rPr>
        <w:t>鼓励工业遗产保护的科学研究，提高工业遗产保护的科学技术水平。</w:t>
      </w:r>
    </w:p>
    <w:p>
      <w:pPr>
        <w:pStyle w:val="Normal"/>
        <w:ind w:firstLineChars="200" w:startChars="0" w:start="0" w:endChars="0" w:end="0"/>
        <w:rPr/>
      </w:pPr>
      <w:r>
        <w:rPr>
          <w:rFonts w:ascii="黑体;SimHei" w:hAnsi="黑体;SimHei" w:hint="eastAsia" w:eastAsia="黑体;SimHei"/>
          <w:bCs/>
        </w:rPr>
        <w:t>第九条</w:t>
      </w:r>
      <w:r>
        <w:rPr>
          <w:rFonts w:hint="eastAsia"/>
          <w:bCs/>
        </w:rPr>
        <w:t>　单位和个人有权对破坏、损害工业遗产的行为进行劝阻，依法检举和控告。</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jc w:val="center"/>
        <w:rPr>
          <w:rFonts w:ascii="黑体;SimHei" w:hAnsi="黑体;SimHei" w:eastAsia="黑体;SimHei" w:hint="eastAsia"/>
          <w:bCs/>
        </w:rPr>
      </w:pPr>
      <w:r>
        <w:rPr>
          <w:rFonts w:ascii="黑体;SimHei" w:hAnsi="黑体;SimHei" w:hint="eastAsia" w:eastAsia="黑体;SimHei"/>
          <w:bCs/>
        </w:rPr>
        <w:t>第二章  普查与认定</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ind w:firstLineChars="200" w:startChars="0" w:start="0" w:endChars="0" w:end="0"/>
        <w:rPr/>
      </w:pPr>
      <w:r>
        <w:rPr>
          <w:rFonts w:ascii="黑体;SimHei" w:hAnsi="黑体;SimHei" w:hint="eastAsia" w:eastAsia="黑体;SimHei"/>
          <w:bCs/>
        </w:rPr>
        <w:t>第十条</w:t>
      </w:r>
      <w:r>
        <w:rPr>
          <w:rFonts w:hint="eastAsia"/>
          <w:bCs/>
        </w:rPr>
        <w:t>　市人民政府文物行政主管部门应当定期组织县、区人民政府文物行政主管部门开展工业遗产普查工作。</w:t>
      </w:r>
    </w:p>
    <w:p>
      <w:pPr>
        <w:pStyle w:val="Normal"/>
        <w:ind w:firstLineChars="200" w:startChars="0" w:start="0" w:endChars="0" w:end="0"/>
        <w:rPr/>
      </w:pPr>
      <w:r>
        <w:rPr>
          <w:rFonts w:ascii="黑体;SimHei" w:hAnsi="黑体;SimHei" w:hint="eastAsia" w:eastAsia="黑体;SimHei"/>
          <w:bCs/>
        </w:rPr>
        <w:t>第十一条</w:t>
      </w:r>
      <w:r>
        <w:rPr>
          <w:rFonts w:hint="eastAsia"/>
          <w:bCs/>
        </w:rPr>
        <w:t>　工业遗存所有权人、经营管理人和使用人以及其他单位、个人，可以向文物行政主管部门推荐工业遗产或者提出相关保护建议。</w:t>
      </w:r>
    </w:p>
    <w:p>
      <w:pPr>
        <w:pStyle w:val="Normal"/>
        <w:ind w:firstLineChars="200" w:startChars="0" w:start="0" w:endChars="0" w:end="0"/>
        <w:rPr/>
      </w:pPr>
      <w:r>
        <w:rPr>
          <w:rFonts w:ascii="黑体;SimHei" w:hAnsi="黑体;SimHei" w:hint="eastAsia" w:eastAsia="黑体;SimHei"/>
          <w:bCs/>
        </w:rPr>
        <w:t>第十二条</w:t>
      </w:r>
      <w:r>
        <w:rPr>
          <w:rFonts w:hint="eastAsia"/>
          <w:bCs/>
        </w:rPr>
        <w:t>　工业遗产认定的重点范围：</w:t>
      </w:r>
    </w:p>
    <w:p>
      <w:pPr>
        <w:pStyle w:val="Normal"/>
        <w:ind w:firstLineChars="200" w:startChars="0" w:start="0" w:endChars="0" w:end="0"/>
        <w:rPr>
          <w:rFonts w:hint="eastAsia"/>
          <w:bCs/>
        </w:rPr>
      </w:pPr>
      <w:r>
        <w:rPr>
          <w:rFonts w:hint="eastAsia"/>
          <w:bCs/>
        </w:rPr>
        <w:t>（一）具有历史阶段标志性和行业代表性，与工业发展有关的生产生活建（构）筑物及其他设施等不可移动的工业遗存；</w:t>
      </w:r>
    </w:p>
    <w:p>
      <w:pPr>
        <w:pStyle w:val="Normal"/>
        <w:ind w:firstLineChars="200" w:startChars="0" w:start="0" w:endChars="0" w:end="0"/>
        <w:rPr>
          <w:rFonts w:hint="eastAsia"/>
          <w:bCs/>
        </w:rPr>
      </w:pPr>
      <w:r>
        <w:rPr>
          <w:rFonts w:hint="eastAsia"/>
          <w:bCs/>
        </w:rPr>
        <w:t xml:space="preserve">（二）与工业发展有关的工业生产设备、生产和运输工具、办公和生活用具、企业档案及杰出人物事迹等可移动的工业遗存； </w:t>
      </w:r>
    </w:p>
    <w:p>
      <w:pPr>
        <w:pStyle w:val="Normal"/>
        <w:ind w:firstLineChars="200" w:startChars="0" w:start="0" w:endChars="0" w:end="0"/>
        <w:rPr>
          <w:rFonts w:hint="eastAsia"/>
          <w:bCs/>
        </w:rPr>
      </w:pPr>
      <w:r>
        <w:rPr>
          <w:rFonts w:hint="eastAsia"/>
          <w:bCs/>
        </w:rPr>
        <w:t xml:space="preserve">（三）具有标志性或者时代性工业产品； </w:t>
      </w:r>
    </w:p>
    <w:p>
      <w:pPr>
        <w:pStyle w:val="Normal"/>
        <w:ind w:firstLineChars="200" w:startChars="0" w:start="0" w:endChars="0" w:end="0"/>
        <w:rPr>
          <w:rFonts w:hint="eastAsia"/>
          <w:bCs/>
        </w:rPr>
      </w:pPr>
      <w:r>
        <w:rPr>
          <w:rFonts w:hint="eastAsia"/>
          <w:bCs/>
        </w:rPr>
        <w:t>（四）非物质形态的工业信息，包括生产技术、生产技能、配方、商号、企业文化等；</w:t>
      </w:r>
    </w:p>
    <w:p>
      <w:pPr>
        <w:pStyle w:val="Normal"/>
        <w:ind w:firstLineChars="200" w:startChars="0" w:start="0" w:endChars="0" w:end="0"/>
        <w:rPr>
          <w:rFonts w:hint="eastAsia"/>
          <w:bCs/>
        </w:rPr>
      </w:pPr>
      <w:r>
        <w:rPr>
          <w:rFonts w:hint="eastAsia"/>
          <w:bCs/>
        </w:rPr>
        <w:t>（五）具有明显可再利用价值的工业遗存；</w:t>
      </w:r>
    </w:p>
    <w:p>
      <w:pPr>
        <w:pStyle w:val="Normal"/>
        <w:ind w:firstLineChars="200" w:startChars="0" w:start="0" w:endChars="0" w:end="0"/>
        <w:rPr>
          <w:rFonts w:hint="eastAsia"/>
          <w:bCs/>
        </w:rPr>
      </w:pPr>
      <w:r>
        <w:rPr>
          <w:rFonts w:hint="eastAsia"/>
          <w:bCs/>
        </w:rPr>
        <w:t>（六）其他与铜陵工业发展密切相关需要保护的工业遗存。</w:t>
      </w:r>
    </w:p>
    <w:p>
      <w:pPr>
        <w:pStyle w:val="Normal"/>
        <w:ind w:firstLineChars="200" w:startChars="0" w:start="0" w:endChars="0" w:end="0"/>
        <w:rPr/>
      </w:pPr>
      <w:r>
        <w:rPr>
          <w:rFonts w:ascii="黑体;SimHei" w:hAnsi="黑体;SimHei" w:hint="eastAsia" w:eastAsia="黑体;SimHei"/>
          <w:bCs/>
        </w:rPr>
        <w:t>第十三条</w:t>
      </w:r>
      <w:r>
        <w:rPr>
          <w:rFonts w:hint="eastAsia"/>
          <w:bCs/>
        </w:rPr>
        <w:t>　市人民政府文物行政主管部门应当根据普查结果和社会推荐情况，提出工业遗产初步名录，组织相关部门、相关领域专家进行评审，并征求社会公众意见后，报市人民政府批准公布。</w:t>
      </w:r>
    </w:p>
    <w:p>
      <w:pPr>
        <w:pStyle w:val="Normal"/>
        <w:ind w:firstLineChars="200" w:startChars="0" w:start="0" w:endChars="0" w:end="0"/>
        <w:rPr/>
      </w:pPr>
      <w:r>
        <w:rPr>
          <w:rFonts w:ascii="黑体;SimHei" w:hAnsi="黑体;SimHei" w:hint="eastAsia" w:eastAsia="黑体;SimHei"/>
          <w:bCs/>
        </w:rPr>
        <w:t>第十四条</w:t>
      </w:r>
      <w:r>
        <w:rPr>
          <w:rFonts w:hint="eastAsia"/>
          <w:bCs/>
        </w:rPr>
        <w:t>　市人民政府文物行政主管部门负责制定工业遗产普查和认定的具体办法，并组织实施。</w:t>
      </w:r>
    </w:p>
    <w:p>
      <w:pPr>
        <w:pStyle w:val="Normal"/>
        <w:ind w:firstLineChars="200" w:startChars="0" w:start="0" w:endChars="0" w:end="0"/>
        <w:rPr/>
      </w:pPr>
      <w:r>
        <w:rPr>
          <w:rFonts w:ascii="黑体;SimHei" w:hAnsi="黑体;SimHei" w:hint="eastAsia" w:eastAsia="黑体;SimHei"/>
          <w:bCs/>
        </w:rPr>
        <w:t>第十五条</w:t>
      </w:r>
      <w:r>
        <w:rPr>
          <w:rFonts w:hint="eastAsia"/>
          <w:bCs/>
        </w:rPr>
        <w:t>　对于不可移动的工业遗产，根据其历史、科技、文化、经济、社会教育等价值，由市人民政府确定为铜陵市工业遗产。</w:t>
      </w:r>
    </w:p>
    <w:p>
      <w:pPr>
        <w:pStyle w:val="Normal"/>
        <w:ind w:firstLineChars="200" w:startChars="0" w:start="0" w:endChars="0" w:end="0"/>
        <w:rPr>
          <w:rFonts w:hint="eastAsia"/>
          <w:bCs/>
        </w:rPr>
      </w:pPr>
      <w:r>
        <w:rPr>
          <w:rFonts w:hint="eastAsia"/>
          <w:bCs/>
        </w:rPr>
        <w:t>符合申报为各级文物保护单位条件的，由文物行政主管部门按照文物保护有关法律、法规的规定办理。</w:t>
      </w:r>
    </w:p>
    <w:p>
      <w:pPr>
        <w:pStyle w:val="Normal"/>
        <w:ind w:firstLineChars="200" w:startChars="0" w:start="0" w:endChars="0" w:end="0"/>
        <w:rPr>
          <w:rFonts w:hint="eastAsia"/>
          <w:bCs/>
        </w:rPr>
      </w:pPr>
      <w:r>
        <w:rPr>
          <w:rFonts w:hint="eastAsia"/>
          <w:bCs/>
        </w:rPr>
        <w:t>对工业遗产集中成片、具有一定规模、工业风貌保存完整、能反映某一历史时期或者某种产业类型的典型风貌特色、有较高历史价值的区域，由市人民政府列为工业遗产保护区，进行整体保护与利用。</w:t>
      </w:r>
    </w:p>
    <w:p>
      <w:pPr>
        <w:pStyle w:val="Normal"/>
        <w:ind w:firstLineChars="200" w:startChars="0" w:start="0" w:endChars="0" w:end="0"/>
        <w:rPr>
          <w:rFonts w:hint="eastAsia"/>
          <w:bCs/>
        </w:rPr>
      </w:pPr>
      <w:r>
        <w:rPr>
          <w:rFonts w:hint="eastAsia"/>
          <w:bCs/>
        </w:rPr>
      </w:r>
    </w:p>
    <w:p>
      <w:pPr>
        <w:pStyle w:val="Normal"/>
        <w:jc w:val="center"/>
        <w:rPr>
          <w:rFonts w:ascii="黑体;SimHei" w:hAnsi="黑体;SimHei" w:eastAsia="黑体;SimHei" w:hint="eastAsia"/>
          <w:bCs/>
        </w:rPr>
      </w:pPr>
      <w:r>
        <w:rPr>
          <w:rFonts w:ascii="黑体;SimHei" w:hAnsi="黑体;SimHei" w:hint="eastAsia" w:eastAsia="黑体;SimHei"/>
          <w:bCs/>
        </w:rPr>
        <w:t>第三章  保护与利用</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ind w:firstLineChars="200" w:startChars="0" w:start="0" w:endChars="0" w:end="0"/>
        <w:rPr/>
      </w:pPr>
      <w:r>
        <w:rPr>
          <w:rFonts w:ascii="黑体;SimHei" w:hAnsi="黑体;SimHei" w:hint="eastAsia" w:eastAsia="黑体;SimHei"/>
          <w:bCs/>
        </w:rPr>
        <w:t>第十六条</w:t>
      </w:r>
      <w:r>
        <w:rPr>
          <w:rFonts w:hint="eastAsia"/>
          <w:bCs/>
        </w:rPr>
        <w:t>　市人民政府文物行政主管部门应当会同市人民政府城乡规划行政主管部门编制工业遗产保护与利用规划，划定保护范围和建设控制地带，经市人民政府城乡规划委员会审查后，报市人民政府批准公布实施。</w:t>
      </w:r>
    </w:p>
    <w:p>
      <w:pPr>
        <w:pStyle w:val="Normal"/>
        <w:ind w:firstLineChars="200" w:startChars="0" w:start="0" w:endChars="0" w:end="0"/>
        <w:rPr>
          <w:rFonts w:hint="eastAsia"/>
          <w:bCs/>
        </w:rPr>
      </w:pPr>
      <w:r>
        <w:rPr>
          <w:rFonts w:hint="eastAsia"/>
          <w:bCs/>
        </w:rPr>
        <w:t>市人民政府文物行政主管部门应当根据工业遗产保护与利用规划制定专项保护方案。</w:t>
      </w:r>
    </w:p>
    <w:p>
      <w:pPr>
        <w:pStyle w:val="Normal"/>
        <w:ind w:firstLineChars="200" w:startChars="0" w:start="0" w:endChars="0" w:end="0"/>
        <w:rPr/>
      </w:pPr>
      <w:r>
        <w:rPr>
          <w:rFonts w:ascii="黑体;SimHei" w:hAnsi="黑体;SimHei" w:hint="eastAsia" w:eastAsia="黑体;SimHei"/>
          <w:bCs/>
        </w:rPr>
        <w:t>第十七条</w:t>
      </w:r>
      <w:r>
        <w:rPr>
          <w:rFonts w:hint="eastAsia"/>
          <w:bCs/>
        </w:rPr>
        <w:t>　工业遗产保护单位确定公布后一年内，市人民政府文物行政主管部门应当根据划定的保护范围和建设控制地带及时设立标识、界桩等保护设施。</w:t>
      </w:r>
    </w:p>
    <w:p>
      <w:pPr>
        <w:pStyle w:val="Normal"/>
        <w:ind w:firstLineChars="200" w:startChars="0" w:start="0" w:endChars="0" w:end="0"/>
        <w:rPr>
          <w:rFonts w:hint="eastAsia"/>
          <w:bCs/>
        </w:rPr>
      </w:pPr>
      <w:r>
        <w:rPr>
          <w:rFonts w:hint="eastAsia"/>
          <w:bCs/>
        </w:rPr>
        <w:t>标识应当载明工业遗产保护单位保护责任人等内容。</w:t>
      </w:r>
    </w:p>
    <w:p>
      <w:pPr>
        <w:pStyle w:val="Normal"/>
        <w:ind w:firstLineChars="200" w:startChars="0" w:start="0" w:endChars="0" w:end="0"/>
        <w:rPr/>
      </w:pPr>
      <w:r>
        <w:rPr>
          <w:rFonts w:ascii="黑体;SimHei" w:hAnsi="黑体;SimHei" w:hint="eastAsia" w:eastAsia="黑体;SimHei"/>
          <w:bCs/>
        </w:rPr>
        <w:t>第十八条</w:t>
      </w:r>
      <w:r>
        <w:rPr>
          <w:rFonts w:hint="eastAsia"/>
          <w:bCs/>
        </w:rPr>
        <w:t>　市人民政府文物行政主管部门应当与保护责任人签订工业遗产保护协议，明确相关责任与义务。</w:t>
      </w:r>
    </w:p>
    <w:p>
      <w:pPr>
        <w:pStyle w:val="Normal"/>
        <w:ind w:firstLineChars="200" w:startChars="0" w:start="0" w:endChars="0" w:end="0"/>
        <w:rPr/>
      </w:pPr>
      <w:r>
        <w:rPr>
          <w:rFonts w:ascii="黑体;SimHei" w:hAnsi="黑体;SimHei" w:hint="eastAsia" w:eastAsia="黑体;SimHei"/>
          <w:bCs/>
        </w:rPr>
        <w:t>第十九条</w:t>
      </w:r>
      <w:r>
        <w:rPr>
          <w:rFonts w:hint="eastAsia"/>
          <w:bCs/>
        </w:rPr>
        <w:t>　市和县、区人民政府文物行政主管部门应当对工业遗产的外观特征、遗址保存状况和工艺流程等情况进行建档。</w:t>
      </w:r>
    </w:p>
    <w:p>
      <w:pPr>
        <w:pStyle w:val="Normal"/>
        <w:ind w:firstLineChars="200" w:startChars="0" w:start="0" w:endChars="0" w:end="0"/>
        <w:rPr/>
      </w:pPr>
      <w:r>
        <w:rPr>
          <w:rFonts w:ascii="黑体;SimHei" w:hAnsi="黑体;SimHei" w:hint="eastAsia" w:eastAsia="黑体;SimHei"/>
          <w:bCs/>
        </w:rPr>
        <w:t>第二十条</w:t>
      </w:r>
      <w:r>
        <w:rPr>
          <w:rFonts w:hint="eastAsia"/>
          <w:bCs/>
        </w:rPr>
        <w:t>　工业遗产保护单位保护范围内不得实施与保护工作无关的建设工程。因特殊情况需要进行建设工程的，应当由市人民政府按照重大决策程序相关规定决策后，由有关部门按照规定履行审批程序。</w:t>
      </w:r>
    </w:p>
    <w:p>
      <w:pPr>
        <w:pStyle w:val="Normal"/>
        <w:ind w:firstLineChars="200" w:startChars="0" w:start="0" w:endChars="0" w:end="0"/>
        <w:rPr>
          <w:rFonts w:hint="eastAsia"/>
          <w:bCs/>
        </w:rPr>
      </w:pPr>
      <w:r>
        <w:rPr>
          <w:rFonts w:hint="eastAsia"/>
          <w:bCs/>
        </w:rPr>
        <w:t>在工业遗产保护单位的建设控制地带实施建设工程，不得破坏工业遗产保护单位的历史风貌；建设工程设计方案应当报城乡规划行政主管部门批准，城乡规划行政主管部门批准前，应当征求文物行政主管部门意见。</w:t>
      </w:r>
    </w:p>
    <w:p>
      <w:pPr>
        <w:pStyle w:val="Normal"/>
        <w:ind w:firstLineChars="200" w:startChars="0" w:start="0" w:endChars="0" w:end="0"/>
        <w:rPr/>
      </w:pPr>
      <w:r>
        <w:rPr>
          <w:rFonts w:ascii="黑体;SimHei" w:hAnsi="黑体;SimHei" w:hint="eastAsia" w:eastAsia="黑体;SimHei"/>
          <w:bCs/>
        </w:rPr>
        <w:t>第二十一条</w:t>
      </w:r>
      <w:r>
        <w:rPr>
          <w:rFonts w:hint="eastAsia"/>
          <w:bCs/>
        </w:rPr>
        <w:t>　对工业遗产无法实施原址保护，必须迁移异地保护或者拆除的，应当经市人民政府批准。</w:t>
      </w:r>
    </w:p>
    <w:p>
      <w:pPr>
        <w:pStyle w:val="Normal"/>
        <w:ind w:firstLineChars="200" w:startChars="0" w:start="0" w:endChars="0" w:end="0"/>
        <w:rPr/>
      </w:pPr>
      <w:r>
        <w:rPr>
          <w:rFonts w:ascii="黑体;SimHei" w:hAnsi="黑体;SimHei" w:hint="eastAsia" w:eastAsia="黑体;SimHei"/>
          <w:bCs/>
        </w:rPr>
        <w:t>第二十二条</w:t>
      </w:r>
      <w:r>
        <w:rPr>
          <w:rFonts w:hint="eastAsia"/>
          <w:bCs/>
        </w:rPr>
        <w:t>　工业遗产的修缮、改造应当符合工业遗产保护要求，并提前征求市文物行政主管部门的意见。修缮、改造时，文物行政主管部门应当给予指导，保护责任人应当建立修缮、改造档案。</w:t>
      </w:r>
    </w:p>
    <w:p>
      <w:pPr>
        <w:pStyle w:val="Normal"/>
        <w:ind w:firstLineChars="200" w:startChars="0" w:start="0" w:endChars="0" w:end="0"/>
        <w:rPr/>
      </w:pPr>
      <w:r>
        <w:rPr>
          <w:rFonts w:ascii="黑体;SimHei" w:hAnsi="黑体;SimHei" w:hint="eastAsia" w:eastAsia="黑体;SimHei"/>
          <w:bCs/>
        </w:rPr>
        <w:t>第二十三条</w:t>
      </w:r>
      <w:r>
        <w:rPr>
          <w:rFonts w:hint="eastAsia"/>
          <w:bCs/>
        </w:rPr>
        <w:t>　对危害工业遗产保护单位安全、破坏工业遗产保护单位历史风貌和环境风貌的建（构）筑物及其他设施，所在地县、区人民政府应当及时调查处理，采取必要的措施。</w:t>
      </w:r>
    </w:p>
    <w:p>
      <w:pPr>
        <w:pStyle w:val="Normal"/>
        <w:ind w:firstLineChars="200" w:startChars="0" w:start="0" w:endChars="0" w:end="0"/>
        <w:rPr/>
      </w:pPr>
      <w:r>
        <w:rPr>
          <w:rFonts w:ascii="黑体;SimHei" w:hAnsi="黑体;SimHei" w:hint="eastAsia" w:eastAsia="黑体;SimHei"/>
          <w:bCs/>
        </w:rPr>
        <w:t>第二十四条</w:t>
      </w:r>
      <w:r>
        <w:rPr>
          <w:rFonts w:hint="eastAsia"/>
          <w:bCs/>
        </w:rPr>
        <w:t>　禁止下列破坏或者危害工业遗产的行为：</w:t>
      </w:r>
    </w:p>
    <w:p>
      <w:pPr>
        <w:pStyle w:val="Normal"/>
        <w:ind w:firstLineChars="200" w:startChars="0" w:start="0" w:endChars="0" w:end="0"/>
        <w:rPr>
          <w:rFonts w:hint="eastAsia"/>
          <w:bCs/>
        </w:rPr>
      </w:pPr>
      <w:r>
        <w:rPr>
          <w:rFonts w:hint="eastAsia"/>
          <w:bCs/>
        </w:rPr>
        <w:t>（一）擅自移动、拆除、损坏保护标识、界桩和其他工业遗产保护设施；</w:t>
      </w:r>
    </w:p>
    <w:p>
      <w:pPr>
        <w:pStyle w:val="Normal"/>
        <w:ind w:firstLineChars="200" w:startChars="0" w:start="0" w:endChars="0" w:end="0"/>
        <w:rPr/>
      </w:pPr>
      <w:r>
        <w:rPr>
          <w:rFonts w:hint="eastAsia"/>
          <w:bCs/>
        </w:rPr>
        <w:t>（二）</w:t>
      </w:r>
      <w:r>
        <w:rPr>
          <w:rFonts w:hint="eastAsia"/>
          <w:bCs/>
          <w:spacing w:val="-4"/>
        </w:rPr>
        <w:t>在工业遗产或者保护设施上涂污、刻划、张贴、攀登等；</w:t>
      </w:r>
    </w:p>
    <w:p>
      <w:pPr>
        <w:pStyle w:val="Normal"/>
        <w:ind w:firstLineChars="200" w:startChars="0" w:start="0" w:endChars="0" w:end="0"/>
        <w:rPr>
          <w:rFonts w:hint="eastAsia"/>
          <w:bCs/>
        </w:rPr>
      </w:pPr>
      <w:r>
        <w:rPr>
          <w:rFonts w:hint="eastAsia"/>
          <w:bCs/>
        </w:rPr>
        <w:t>（三）违规倾倒、堆放垃圾或者排放污水；</w:t>
      </w:r>
    </w:p>
    <w:p>
      <w:pPr>
        <w:pStyle w:val="Normal"/>
        <w:ind w:firstLineChars="200" w:startChars="0" w:start="0" w:endChars="0" w:end="0"/>
        <w:rPr>
          <w:rFonts w:hint="eastAsia"/>
          <w:bCs/>
        </w:rPr>
      </w:pPr>
      <w:r>
        <w:rPr>
          <w:rFonts w:hint="eastAsia"/>
          <w:bCs/>
        </w:rPr>
        <w:t>（四）违规取土、打井、挖建沟渠池塘、深翻土地等改变地形地貌的行为；</w:t>
      </w:r>
    </w:p>
    <w:p>
      <w:pPr>
        <w:pStyle w:val="Normal"/>
        <w:ind w:firstLineChars="200" w:startChars="0" w:start="0" w:endChars="0" w:end="0"/>
        <w:rPr>
          <w:rFonts w:hint="eastAsia"/>
          <w:bCs/>
        </w:rPr>
      </w:pPr>
      <w:r>
        <w:rPr>
          <w:rFonts w:hint="eastAsia"/>
          <w:bCs/>
        </w:rPr>
        <w:t>（五）其他有损于工业遗产保护的行为。</w:t>
      </w:r>
    </w:p>
    <w:p>
      <w:pPr>
        <w:pStyle w:val="Normal"/>
        <w:ind w:firstLineChars="200" w:startChars="0" w:start="0" w:endChars="0" w:end="0"/>
        <w:rPr/>
      </w:pPr>
      <w:r>
        <w:rPr>
          <w:rFonts w:ascii="黑体;SimHei" w:hAnsi="黑体;SimHei" w:hint="eastAsia" w:eastAsia="黑体;SimHei"/>
          <w:bCs/>
        </w:rPr>
        <w:t>第二十五条</w:t>
      </w:r>
      <w:r>
        <w:rPr>
          <w:rFonts w:hint="eastAsia"/>
          <w:bCs/>
        </w:rPr>
        <w:t>　可移动的工业遗产，应当尽量在其原有环境中保存；价值较高的可移动工业遗产，可以由博物馆、图书馆及档案馆等予以征集收藏、陈列展示。</w:t>
      </w:r>
    </w:p>
    <w:p>
      <w:pPr>
        <w:pStyle w:val="Normal"/>
        <w:ind w:firstLineChars="200" w:startChars="0" w:start="0" w:endChars="0" w:end="0"/>
        <w:rPr>
          <w:rFonts w:hint="eastAsia"/>
          <w:bCs/>
        </w:rPr>
      </w:pPr>
      <w:r>
        <w:rPr>
          <w:rFonts w:hint="eastAsia"/>
          <w:bCs/>
        </w:rPr>
        <w:t>提倡企业、行业组织建立与本企业、行业发展相关的专业博物馆，或者向博物馆捐赠能反映本市工业发展进程的产品。博物馆对捐赠的产品应当采取适当的措施予以收藏、陈列展示。</w:t>
      </w:r>
    </w:p>
    <w:p>
      <w:pPr>
        <w:pStyle w:val="Normal"/>
        <w:ind w:firstLineChars="200" w:startChars="0" w:start="0" w:endChars="0" w:end="0"/>
        <w:rPr/>
      </w:pPr>
      <w:r>
        <w:rPr>
          <w:rFonts w:ascii="黑体;SimHei" w:hAnsi="黑体;SimHei" w:hint="eastAsia" w:eastAsia="黑体;SimHei"/>
          <w:bCs/>
        </w:rPr>
        <w:t>第二十六条</w:t>
      </w:r>
      <w:r>
        <w:rPr>
          <w:rFonts w:hint="eastAsia"/>
          <w:bCs/>
        </w:rPr>
        <w:t>　不可移动的工业遗产转让、抵押的，经营管理人和使用人发生变化的，工业遗产所有权人应当报市人民政府文物行政主管部门备案。</w:t>
      </w:r>
    </w:p>
    <w:p>
      <w:pPr>
        <w:pStyle w:val="Normal"/>
        <w:ind w:firstLineChars="200" w:startChars="0" w:start="0" w:endChars="0" w:end="0"/>
        <w:rPr/>
      </w:pPr>
      <w:r>
        <w:rPr>
          <w:rFonts w:ascii="黑体;SimHei" w:hAnsi="黑体;SimHei" w:hint="eastAsia" w:eastAsia="黑体;SimHei"/>
          <w:bCs/>
        </w:rPr>
        <w:t>第二十七条</w:t>
      </w:r>
      <w:r>
        <w:rPr>
          <w:rFonts w:hint="eastAsia"/>
          <w:bCs/>
        </w:rPr>
        <w:t>　在发生危及工业遗产安全的突发事件、自然灾害等情况下，市和县、区人民政府以及工业遗产保护单位保护责任人应当及时采取相应处置措施。</w:t>
      </w:r>
    </w:p>
    <w:p>
      <w:pPr>
        <w:pStyle w:val="Normal"/>
        <w:ind w:firstLineChars="200" w:startChars="0" w:start="0" w:endChars="0" w:end="0"/>
        <w:rPr/>
      </w:pPr>
      <w:r>
        <w:rPr>
          <w:rFonts w:ascii="黑体;SimHei" w:hAnsi="黑体;SimHei" w:hint="eastAsia" w:eastAsia="黑体;SimHei"/>
          <w:bCs/>
        </w:rPr>
        <w:t>第二十八条</w:t>
      </w:r>
      <w:r>
        <w:rPr>
          <w:rFonts w:hint="eastAsia"/>
          <w:bCs/>
        </w:rPr>
        <w:t>　市和县、区人民政府可以利用现有工业遗存，改造、建设工业博物馆、创意园区、主题公园，或者进行城市综合开发；并可以采取相关激励措施引导、鼓励社会力量参与工业遗产的保护与利用。</w:t>
      </w:r>
    </w:p>
    <w:p>
      <w:pPr>
        <w:pStyle w:val="Normal"/>
        <w:ind w:firstLineChars="200" w:startChars="0" w:start="0" w:endChars="0" w:end="0"/>
        <w:rPr>
          <w:rFonts w:hint="eastAsia"/>
          <w:bCs/>
        </w:rPr>
      </w:pPr>
      <w:r>
        <w:rPr>
          <w:rFonts w:hint="eastAsia"/>
          <w:bCs/>
        </w:rPr>
        <w:t>鼓励和支持工业遗产保护责任人在妥善保护的前提下，将工业遗产向公众开放。</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jc w:val="center"/>
        <w:rPr/>
      </w:pPr>
      <w:r>
        <w:rPr>
          <w:rFonts w:ascii="黑体;SimHei" w:hAnsi="黑体;SimHei" w:hint="eastAsia" w:eastAsia="黑体;SimHei"/>
          <w:bCs/>
        </w:rPr>
        <w:t>第四章  法律责任</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ind w:firstLineChars="200" w:startChars="0" w:start="0" w:endChars="0" w:end="0"/>
        <w:rPr/>
      </w:pPr>
      <w:r>
        <w:rPr>
          <w:rFonts w:ascii="黑体;SimHei" w:hAnsi="黑体;SimHei" w:hint="eastAsia" w:eastAsia="黑体;SimHei"/>
          <w:bCs/>
        </w:rPr>
        <w:t>第二十九条</w:t>
      </w:r>
      <w:r>
        <w:rPr>
          <w:rFonts w:hint="eastAsia"/>
          <w:bCs/>
        </w:rPr>
        <w:t>　工业遗产保护单位保护责任人无正当理由拒</w:t>
      </w:r>
      <w:r>
        <w:rPr>
          <w:rFonts w:hint="eastAsia"/>
          <w:bCs/>
          <w:spacing w:val="-4"/>
        </w:rPr>
        <w:t>不履行日常维护管理等保护责任的，由文物行政主管部门责令改正。</w:t>
      </w:r>
    </w:p>
    <w:p>
      <w:pPr>
        <w:pStyle w:val="Normal"/>
        <w:ind w:firstLineChars="200" w:startChars="0" w:start="0" w:endChars="0" w:end="0"/>
        <w:rPr/>
      </w:pPr>
      <w:r>
        <w:rPr>
          <w:rFonts w:ascii="黑体;SimHei" w:hAnsi="黑体;SimHei" w:hint="eastAsia" w:eastAsia="黑体;SimHei"/>
          <w:bCs/>
        </w:rPr>
        <w:t>第三十条</w:t>
      </w:r>
      <w:r>
        <w:rPr>
          <w:rFonts w:hint="eastAsia"/>
          <w:bCs/>
        </w:rPr>
        <w:t>　违反本条例规定，有下列情形之一的，由文物行政主管部门责令改正，造成严重后果的，处五万元以上二十万元以下的罚款：</w:t>
      </w:r>
    </w:p>
    <w:p>
      <w:pPr>
        <w:pStyle w:val="Normal"/>
        <w:ind w:firstLineChars="200" w:startChars="0" w:start="0" w:endChars="0" w:end="0"/>
        <w:rPr/>
      </w:pPr>
      <w:r>
        <w:rPr>
          <w:rFonts w:hint="eastAsia"/>
          <w:bCs/>
        </w:rPr>
        <w:t>（一）</w:t>
      </w:r>
      <w:r>
        <w:rPr>
          <w:rFonts w:hint="eastAsia"/>
          <w:bCs/>
          <w:spacing w:val="-4"/>
        </w:rPr>
        <w:t>擅自在工业遗产保护单位保护范围内实施建设工程的；</w:t>
      </w:r>
    </w:p>
    <w:p>
      <w:pPr>
        <w:pStyle w:val="Normal"/>
        <w:ind w:firstLineChars="200" w:startChars="0" w:start="0" w:endChars="0" w:end="0"/>
        <w:rPr>
          <w:rFonts w:hint="eastAsia"/>
          <w:bCs/>
        </w:rPr>
      </w:pPr>
      <w:r>
        <w:rPr>
          <w:rFonts w:hint="eastAsia"/>
          <w:bCs/>
        </w:rPr>
        <w:t>（二）在工业遗产保护单位的建设控制地带实施建设工程，其建设工程设计方案未经城乡规划行政主管部门批准，对工业遗产保护单位的历史风貌造成破坏的；</w:t>
      </w:r>
    </w:p>
    <w:p>
      <w:pPr>
        <w:pStyle w:val="Normal"/>
        <w:ind w:firstLineChars="200" w:startChars="0" w:start="0" w:endChars="0" w:end="0"/>
        <w:rPr>
          <w:rFonts w:hint="eastAsia"/>
          <w:bCs/>
        </w:rPr>
      </w:pPr>
      <w:r>
        <w:rPr>
          <w:rFonts w:hint="eastAsia"/>
          <w:bCs/>
        </w:rPr>
        <w:t>（三）擅自迁移或者拆除工业遗产的；</w:t>
      </w:r>
    </w:p>
    <w:p>
      <w:pPr>
        <w:pStyle w:val="Normal"/>
        <w:ind w:firstLineChars="200" w:startChars="0" w:start="0" w:endChars="0" w:end="0"/>
        <w:rPr/>
      </w:pPr>
      <w:r>
        <w:rPr>
          <w:rFonts w:hint="eastAsia"/>
          <w:bCs/>
        </w:rPr>
        <w:t>（四）</w:t>
      </w:r>
      <w:r>
        <w:rPr>
          <w:rFonts w:hint="eastAsia"/>
          <w:bCs/>
          <w:spacing w:val="-4"/>
        </w:rPr>
        <w:t>擅自修缮、改造工业遗产，不符合工业遗产保护要求的。</w:t>
      </w:r>
    </w:p>
    <w:p>
      <w:pPr>
        <w:pStyle w:val="Normal"/>
        <w:ind w:firstLineChars="200" w:startChars="0" w:start="0" w:endChars="0" w:end="0"/>
        <w:rPr/>
      </w:pPr>
      <w:r>
        <w:rPr>
          <w:rFonts w:ascii="黑体;SimHei" w:hAnsi="黑体;SimHei" w:hint="eastAsia" w:eastAsia="黑体;SimHei"/>
          <w:bCs/>
        </w:rPr>
        <w:t>第三十一条</w:t>
      </w:r>
      <w:r>
        <w:rPr>
          <w:rFonts w:hint="eastAsia"/>
          <w:bCs/>
        </w:rPr>
        <w:t>　违反本条例第二十四条第一项、第二项规定的，由文物行政主管部门责令改正，处二百元以上一千元以下的罚款。</w:t>
      </w:r>
    </w:p>
    <w:p>
      <w:pPr>
        <w:pStyle w:val="Normal"/>
        <w:ind w:firstLineChars="200" w:startChars="0" w:start="0" w:endChars="0" w:end="0"/>
        <w:rPr/>
      </w:pPr>
      <w:r>
        <w:rPr>
          <w:rFonts w:ascii="黑体;SimHei" w:hAnsi="黑体;SimHei" w:hint="eastAsia" w:eastAsia="黑体;SimHei"/>
          <w:bCs/>
        </w:rPr>
        <w:t>第三十二条</w:t>
      </w:r>
      <w:r>
        <w:rPr>
          <w:rFonts w:hint="eastAsia"/>
          <w:bCs/>
        </w:rPr>
        <w:t>　违反本条例第二十四条第三项、第四项规定的，由相关部门依照有关法律、法规的规定给予处罚。</w:t>
      </w:r>
    </w:p>
    <w:p>
      <w:pPr>
        <w:pStyle w:val="Normal"/>
        <w:ind w:firstLineChars="200" w:startChars="0" w:start="0" w:endChars="0" w:end="0"/>
        <w:rPr/>
      </w:pPr>
      <w:r>
        <w:rPr>
          <w:rFonts w:ascii="黑体;SimHei" w:hAnsi="黑体;SimHei" w:hint="eastAsia" w:eastAsia="黑体;SimHei"/>
          <w:bCs/>
        </w:rPr>
        <w:t>第三十三条</w:t>
      </w:r>
      <w:r>
        <w:rPr>
          <w:rFonts w:hint="eastAsia"/>
          <w:bCs/>
        </w:rPr>
        <w:t>　违反本条例第二十六条规定的，由市人民政府文物行政主管部门责令改正。</w:t>
      </w:r>
    </w:p>
    <w:p>
      <w:pPr>
        <w:pStyle w:val="Normal"/>
        <w:ind w:firstLineChars="200" w:startChars="0" w:start="0" w:endChars="0" w:end="0"/>
        <w:rPr/>
      </w:pPr>
      <w:r>
        <w:rPr>
          <w:rFonts w:ascii="黑体;SimHei" w:hAnsi="黑体;SimHei" w:hint="eastAsia" w:eastAsia="黑体;SimHei"/>
          <w:bCs/>
        </w:rPr>
        <w:t>第三十四条</w:t>
      </w:r>
      <w:r>
        <w:rPr>
          <w:rFonts w:hint="eastAsia"/>
          <w:bCs/>
        </w:rPr>
        <w:t>　行政管理部门及其工作人员违反本条例规定，有下列情形之一，尚不构成犯罪的，由有关行政管理部门或者监察机关责令改正；依法对负有责任的领导人员和直接责任人员给予警告或者记过处分；情节较重的，给予记大过或者降级处分；情节严重的，给予撤职处分：</w:t>
      </w:r>
    </w:p>
    <w:p>
      <w:pPr>
        <w:pStyle w:val="Normal"/>
        <w:ind w:firstLineChars="200" w:startChars="0" w:start="0" w:endChars="0" w:end="0"/>
        <w:rPr>
          <w:rFonts w:hint="eastAsia"/>
          <w:bCs/>
        </w:rPr>
      </w:pPr>
      <w:r>
        <w:rPr>
          <w:rFonts w:hint="eastAsia"/>
          <w:bCs/>
        </w:rPr>
        <w:t>（一）发现违法行为不按规定报告、处理的；</w:t>
      </w:r>
    </w:p>
    <w:p>
      <w:pPr>
        <w:pStyle w:val="Normal"/>
        <w:ind w:firstLineChars="200" w:startChars="0" w:start="0" w:endChars="0" w:end="0"/>
        <w:rPr>
          <w:rFonts w:hint="eastAsia"/>
          <w:bCs/>
        </w:rPr>
      </w:pPr>
      <w:r>
        <w:rPr>
          <w:rFonts w:hint="eastAsia"/>
          <w:bCs/>
        </w:rPr>
        <w:t>（二）不履行职责造成工业遗产损毁或者流失的；</w:t>
      </w:r>
    </w:p>
    <w:p>
      <w:pPr>
        <w:pStyle w:val="Normal"/>
        <w:ind w:firstLineChars="200" w:startChars="0" w:start="0" w:endChars="0" w:end="0"/>
        <w:rPr>
          <w:rFonts w:hint="eastAsia"/>
          <w:bCs/>
        </w:rPr>
      </w:pPr>
      <w:r>
        <w:rPr>
          <w:rFonts w:hint="eastAsia"/>
          <w:bCs/>
        </w:rPr>
        <w:t>（三）泄露工业遗产涉及的国家秘密和商业秘密，造成不良后果的；</w:t>
      </w:r>
    </w:p>
    <w:p>
      <w:pPr>
        <w:pStyle w:val="Normal"/>
        <w:ind w:firstLineChars="200" w:startChars="0" w:start="0" w:endChars="0" w:end="0"/>
        <w:rPr>
          <w:rFonts w:hint="eastAsia"/>
          <w:bCs/>
        </w:rPr>
      </w:pPr>
      <w:r>
        <w:rPr>
          <w:rFonts w:hint="eastAsia"/>
          <w:bCs/>
        </w:rPr>
        <w:t>（四）其他滥用职权、玩忽职守、徇私舞弊等情形。</w:t>
      </w:r>
    </w:p>
    <w:p>
      <w:pPr>
        <w:pStyle w:val="Normal"/>
        <w:ind w:firstLineChars="200" w:startChars="0" w:start="0" w:endChars="0" w:end="0"/>
        <w:rPr>
          <w:rFonts w:hint="eastAsia"/>
          <w:bCs/>
        </w:rPr>
      </w:pPr>
      <w:r>
        <w:rPr>
          <w:rFonts w:ascii="黑体;SimHei" w:hAnsi="黑体;SimHei" w:hint="eastAsia" w:eastAsia="黑体;SimHei"/>
          <w:bCs/>
        </w:rPr>
        <w:t>第三十五条</w:t>
      </w:r>
      <w:r>
        <w:rPr>
          <w:rFonts w:hint="eastAsia"/>
          <w:bCs/>
        </w:rPr>
        <w:t>　违反本条例规定，造成损失的，依法承担赔偿责任；构成犯罪的，依法追究刑事责任。</w:t>
      </w:r>
    </w:p>
    <w:p>
      <w:pPr>
        <w:pStyle w:val="Normal"/>
        <w:ind w:firstLineChars="200" w:startChars="0" w:start="0" w:endChars="0" w:end="0"/>
        <w:rPr>
          <w:rFonts w:hint="eastAsia"/>
          <w:bCs/>
        </w:rPr>
      </w:pPr>
      <w:r>
        <w:rPr>
          <w:rFonts w:hint="eastAsia"/>
          <w:bCs/>
        </w:rPr>
      </w:r>
    </w:p>
    <w:p>
      <w:pPr>
        <w:pStyle w:val="Normal"/>
        <w:jc w:val="center"/>
        <w:rPr>
          <w:rFonts w:ascii="黑体;SimHei" w:hAnsi="黑体;SimHei" w:eastAsia="黑体;SimHei" w:hint="eastAsia"/>
          <w:bCs/>
        </w:rPr>
      </w:pPr>
      <w:r>
        <w:rPr>
          <w:rFonts w:ascii="黑体;SimHei" w:hAnsi="黑体;SimHei" w:hint="eastAsia" w:eastAsia="黑体;SimHei"/>
          <w:bCs/>
        </w:rPr>
        <w:t>第五章  附    则</w:t>
      </w:r>
    </w:p>
    <w:p>
      <w:pPr>
        <w:pStyle w:val="Normal"/>
        <w:ind w:firstLineChars="200" w:startChars="0" w:start="0" w:endChars="0" w:end="0"/>
        <w:rPr>
          <w:rFonts w:ascii="黑体;SimHei" w:hAnsi="黑体;SimHei" w:eastAsia="黑体;SimHei" w:hint="eastAsia"/>
          <w:bCs/>
        </w:rPr>
      </w:pPr>
      <w:r>
        <w:rPr>
          <w:rFonts w:eastAsia="黑体;SimHei" w:hint="eastAsia" w:ascii="黑体;SimHei" w:hAnsi="黑体;SimHei"/>
          <w:bCs/>
        </w:rPr>
      </w:r>
    </w:p>
    <w:p>
      <w:pPr>
        <w:pStyle w:val="Normal"/>
        <w:ind w:firstLineChars="200" w:startChars="0" w:start="0" w:endChars="0" w:end="0"/>
        <w:rPr/>
      </w:pPr>
      <w:r>
        <w:rPr>
          <w:rFonts w:ascii="黑体;SimHei" w:hAnsi="黑体;SimHei" w:hint="eastAsia" w:eastAsia="黑体;SimHei"/>
          <w:bCs/>
        </w:rPr>
        <w:t>第三十六条</w:t>
      </w:r>
      <w:r>
        <w:rPr>
          <w:rFonts w:hint="eastAsia"/>
          <w:bCs/>
        </w:rPr>
        <w:t>　本条例自</w:t>
      </w:r>
      <w:r>
        <w:rPr>
          <w:rFonts w:hint="eastAsia"/>
          <w:bCs/>
        </w:rPr>
        <w:t>2018</w:t>
      </w:r>
      <w:r>
        <w:rPr>
          <w:rFonts w:hint="eastAsia"/>
          <w:bCs/>
        </w:rPr>
        <w:t>年</w:t>
      </w:r>
      <w:r>
        <w:rPr>
          <w:rFonts w:hint="eastAsia"/>
          <w:bCs/>
        </w:rPr>
        <w:t>1</w:t>
      </w:r>
      <w:r>
        <w:rPr>
          <w:rFonts w:hint="eastAsia"/>
          <w:bCs/>
        </w:rPr>
        <w:t>月</w:t>
      </w:r>
      <w:r>
        <w:rPr>
          <w:rFonts w:hint="eastAsia"/>
          <w:bCs/>
        </w:rPr>
        <w:t>1</w:t>
      </w:r>
      <w:r>
        <w:rPr>
          <w:rFonts w:hint="eastAsia"/>
          <w:bCs/>
        </w:rPr>
        <w:t>日起施行。</w:t>
      </w:r>
    </w:p>
    <w:p>
      <w:pPr>
        <w:pStyle w:val="Normal"/>
        <w:rPr>
          <w:rFonts w:hint="eastAsia"/>
          <w:bCs/>
        </w:rPr>
      </w:pPr>
      <w:r>
        <w:rPr>
          <w:rFonts w:hint="eastAsia"/>
          <w:bCs/>
        </w:rPr>
      </w:r>
    </w:p>
    <w:p>
      <w:pPr>
        <w:pStyle w:val="Normal"/>
        <w:rPr>
          <w:rFonts w:hint="eastAsia"/>
          <w:sz w:val="28"/>
          <w:szCs w:val="28"/>
        </w:rPr>
      </w:pPr>
      <w:r>
        <w:rPr>
          <w:rFonts w:hint="eastAsia"/>
          <w:sz w:val="28"/>
          <w:szCs w:val="28"/>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auto"/>
    <w:pitch w:val="variable"/>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247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712470" cy="55372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6.1pt;height:43.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宋体;SimSun"/>
      <w:b/>
      <w:kern w:val="2"/>
      <w:sz w:val="44"/>
      <w:szCs w:val="28"/>
    </w:rPr>
  </w:style>
  <w:style w:type="character" w:styleId="Style13">
    <w:name w:val="默认段落字体"/>
    <w:qFormat/>
    <w:rPr/>
  </w:style>
  <w:style w:type="character" w:styleId="Strong">
    <w:name w:val="Strong"/>
    <w:qFormat/>
    <w:rPr>
      <w:rFonts w:ascii="Times New Roman" w:hAnsi="Times New Roman" w:cs="Times New Roman"/>
      <w:b/>
      <w:bCs w:val="false"/>
      <w:lang w:bidi="ar-SA"/>
    </w:rPr>
  </w:style>
  <w:style w:type="character" w:styleId="CharChar">
    <w:name w:val=" Char Char"/>
    <w:basedOn w:val="Style13"/>
    <w:qFormat/>
    <w:rPr>
      <w:rFonts w:eastAsia="仿宋_GB2312"/>
      <w:kern w:val="2"/>
      <w:sz w:val="32"/>
      <w:szCs w:val="24"/>
      <w:lang w:bidi="ar-SA"/>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4">
    <w:name w:val="纯文本"/>
    <w:basedOn w:val="Normal"/>
    <w:qFormat/>
    <w:pPr/>
    <w:rPr>
      <w:rFonts w:ascii="宋体;SimSun" w:hAnsi="宋体;SimSun" w:cs="Courier New"/>
      <w:sz w:val="21"/>
      <w:szCs w:val="20"/>
    </w:rPr>
  </w:style>
  <w:style w:type="paragraph" w:styleId="Style15">
    <w:name w:val="普通(网站)"/>
    <w:basedOn w:val="Normal"/>
    <w:qFormat/>
    <w:pPr>
      <w:widowControl/>
      <w:spacing w:before="280" w:after="280"/>
      <w:jc w:val="start"/>
    </w:pPr>
    <w:rPr>
      <w:rFonts w:eastAsia="宋体;SimSun"/>
      <w:kern w:val="0"/>
      <w:sz w:val="24"/>
    </w:rPr>
  </w:style>
  <w:style w:type="paragraph" w:styleId="BodyTextIndent">
    <w:name w:val="Body Text Indent"/>
    <w:basedOn w:val="Normal"/>
    <w:pPr>
      <w:spacing w:before="0" w:after="120"/>
      <w:ind w:firstLineChars="0" w:firstLine="0" w:startChars="2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SimSun"/>
      <w:sz w:val="24"/>
      <w:szCs w:val="32"/>
    </w:rPr>
  </w:style>
  <w:style w:type="paragraph" w:styleId="Style16">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2017-10-09T15:34:00Z</dcterms:created>
  <dc:creator>梁艳</dc:creator>
  <dc:description/>
  <cp:keywords/>
  <dc:language>en-US</dc:language>
  <cp:lastModifiedBy>陈慧</cp:lastModifiedBy>
  <cp:lastPrinted>2017-09-27T19:06:00Z</cp:lastPrinted>
  <dcterms:modified xsi:type="dcterms:W3CDTF">2017-10-09T15:35:00Z</dcterms:modified>
  <cp:revision>3</cp:revision>
  <dc:subject/>
  <dc:title>省十二届人大常委会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2052-10.1.0.6235</vt:lpwstr>
  </property>
</Properties>
</file>