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80"/>
        <w:jc w:val="center"/>
        <w:rPr>
          <w:rFonts w:eastAsia="方正小标宋简体" w:hint="eastAsia"/>
          <w:sz w:val="44"/>
          <w:szCs w:val="44"/>
        </w:rPr>
      </w:pPr>
      <w:r>
        <w:rPr>
          <w:rFonts w:eastAsia="方正小标宋简体" w:hint="eastAsia"/>
          <w:sz w:val="44"/>
          <w:szCs w:val="44"/>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安徽省人民代表大会常务委员会关于批准</w:t>
      </w:r>
    </w:p>
    <w:p>
      <w:pPr>
        <w:pStyle w:val="Normal"/>
        <w:spacing w:lineRule="exact" w:line="680"/>
        <w:jc w:val="center"/>
        <w:rPr/>
      </w:pPr>
      <w:r>
        <w:rPr>
          <w:rFonts w:ascii="方正小标宋简体" w:hAnsi="方正小标宋简体" w:hint="eastAsia" w:eastAsia="方正小标宋简体"/>
          <w:color w:val="000000"/>
          <w:sz w:val="44"/>
        </w:rPr>
        <w:t>《</w:t>
      </w:r>
      <w:r>
        <w:rPr>
          <w:rFonts w:hint="eastAsia" w:eastAsia="方正小标宋简体"/>
          <w:color w:val="000000"/>
          <w:sz w:val="44"/>
          <w:szCs w:val="44"/>
        </w:rPr>
        <w:t>池州市海绵城市建设和管理条例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常务委员会第十三次会议通过）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十三</w:t>
      </w:r>
      <w:r>
        <w:rPr>
          <w:rFonts w:ascii="仿宋_GB2312" w:hAnsi="仿宋_GB2312"/>
          <w:color w:val="000000"/>
        </w:rPr>
        <w:t>次会议审查了</w:t>
      </w:r>
      <w:r>
        <w:rPr>
          <w:rFonts w:ascii="仿宋_GB2312" w:hAnsi="仿宋_GB2312" w:hint="eastAsia"/>
          <w:color w:val="000000"/>
        </w:rPr>
        <w:t>《池州市海绵城市建设和管理条例》</w:t>
      </w:r>
      <w:r>
        <w:rPr>
          <w:rFonts w:ascii="仿宋_GB2312" w:hAnsi="仿宋_GB2312"/>
          <w:color w:val="000000"/>
        </w:rPr>
        <w:t>，决定予以批准，由</w:t>
      </w:r>
      <w:r>
        <w:rPr>
          <w:rFonts w:ascii="仿宋_GB2312" w:hAnsi="仿宋_GB2312" w:hint="eastAsia"/>
          <w:color w:val="000000"/>
        </w:rPr>
        <w:t>池州</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r>
        <w:br w:type="page"/>
      </w:r>
    </w:p>
    <w:p>
      <w:pPr>
        <w:pStyle w:val="Normal"/>
        <w:spacing w:lineRule="exact" w:line="680"/>
        <w:jc w:val="center"/>
        <w:rPr>
          <w:rFonts w:eastAsia="黑体;SimHei" w:hint="eastAsia"/>
          <w:bCs/>
          <w:color w:val="000000"/>
          <w:sz w:val="28"/>
          <w:szCs w:val="28"/>
        </w:rPr>
      </w:pPr>
      <w:r>
        <w:rPr>
          <w:rFonts w:eastAsia="黑体;SimHei" w:hint="eastAsia"/>
          <w:bCs/>
          <w:color w:val="000000"/>
          <w:sz w:val="28"/>
          <w:szCs w:val="28"/>
        </w:rPr>
      </w:r>
    </w:p>
    <w:p>
      <w:pPr>
        <w:pStyle w:val="Normal"/>
        <w:spacing w:lineRule="exact" w:line="680"/>
        <w:jc w:val="center"/>
        <w:rPr>
          <w:rFonts w:eastAsia="方正小标宋简体"/>
          <w:sz w:val="44"/>
          <w:szCs w:val="44"/>
        </w:rPr>
      </w:pPr>
      <w:r>
        <w:rPr>
          <w:rFonts w:hint="eastAsia" w:eastAsia="方正小标宋简体"/>
          <w:sz w:val="44"/>
          <w:szCs w:val="44"/>
        </w:rPr>
        <w:t>池州市海绵城市建设和管理条例</w:t>
      </w:r>
    </w:p>
    <w:p>
      <w:pPr>
        <w:pStyle w:val="Normal"/>
        <w:jc w:val="center"/>
        <w:rPr>
          <w:rFonts w:eastAsia="楷体_GB2312"/>
          <w:color w:val="000000"/>
          <w:sz w:val="44"/>
          <w:szCs w:val="44"/>
        </w:rPr>
      </w:pPr>
      <w:r>
        <w:rPr>
          <w:rFonts w:eastAsia="楷体_GB2312"/>
          <w:color w:val="000000"/>
          <w:sz w:val="44"/>
          <w:szCs w:val="44"/>
        </w:rPr>
      </w:r>
    </w:p>
    <w:p>
      <w:pPr>
        <w:pStyle w:val="Normal"/>
        <w:rPr>
          <w:rFonts w:eastAsia="楷体_GB2312"/>
          <w:color w:val="000000"/>
        </w:rPr>
      </w:pPr>
      <w:r>
        <w:rPr>
          <w:rFonts w:eastAsia="楷体_GB2312" w:hint="eastAsia"/>
          <w:color w:val="000000"/>
        </w:rPr>
        <w:t xml:space="preserve">    </w:t>
      </w:r>
      <w:r>
        <w:rPr>
          <w:rFonts w:hint="eastAsia" w:eastAsia="楷体_GB2312"/>
          <w:color w:val="000000"/>
        </w:rPr>
        <w:t>（</w:t>
      </w:r>
      <w:r>
        <w:rPr>
          <w:rFonts w:eastAsia="楷体_GB2312"/>
          <w:color w:val="000000"/>
        </w:rPr>
        <w:t>2019</w:t>
      </w:r>
      <w:r>
        <w:rPr>
          <w:rFonts w:hint="eastAsia" w:eastAsia="楷体_GB2312"/>
          <w:color w:val="000000"/>
        </w:rPr>
        <w:t>年</w:t>
      </w:r>
      <w:r>
        <w:rPr>
          <w:rFonts w:eastAsia="楷体_GB2312"/>
          <w:color w:val="000000"/>
        </w:rPr>
        <w:t>10</w:t>
      </w:r>
      <w:r>
        <w:rPr>
          <w:rFonts w:hint="eastAsia" w:eastAsia="楷体_GB2312"/>
          <w:color w:val="000000"/>
        </w:rPr>
        <w:t>月</w:t>
      </w:r>
      <w:r>
        <w:rPr>
          <w:rFonts w:eastAsia="楷体_GB2312"/>
          <w:color w:val="000000"/>
        </w:rPr>
        <w:t>31</w:t>
      </w:r>
      <w:r>
        <w:rPr>
          <w:rFonts w:hint="eastAsia" w:eastAsia="楷体_GB2312"/>
          <w:color w:val="000000"/>
        </w:rPr>
        <w:t xml:space="preserve">日池州市第四届人民代表大会常务委员会第十五次会议通过    </w:t>
      </w:r>
      <w:r>
        <w:rPr>
          <w:rFonts w:eastAsia="楷体_GB2312"/>
          <w:color w:val="000000"/>
          <w:szCs w:val="30"/>
        </w:rPr>
        <w:t>2019</w:t>
      </w:r>
      <w:r>
        <w:rPr>
          <w:rFonts w:hint="eastAsia" w:eastAsia="楷体_GB2312"/>
          <w:color w:val="000000"/>
          <w:szCs w:val="30"/>
        </w:rPr>
        <w:t>年</w:t>
      </w:r>
      <w:r>
        <w:rPr>
          <w:rFonts w:eastAsia="楷体_GB2312"/>
          <w:color w:val="000000"/>
          <w:szCs w:val="30"/>
        </w:rPr>
        <w:t>11</w:t>
      </w:r>
      <w:r>
        <w:rPr>
          <w:rFonts w:hint="eastAsia" w:eastAsia="楷体_GB2312"/>
          <w:color w:val="000000"/>
          <w:szCs w:val="30"/>
        </w:rPr>
        <w:t>月</w:t>
      </w:r>
      <w:r>
        <w:rPr>
          <w:rFonts w:eastAsia="楷体_GB2312" w:hint="eastAsia"/>
          <w:color w:val="000000"/>
          <w:szCs w:val="30"/>
        </w:rPr>
        <w:t>29</w:t>
      </w:r>
      <w:r>
        <w:rPr>
          <w:rFonts w:hint="eastAsia" w:eastAsia="楷体_GB2312"/>
          <w:color w:val="000000"/>
          <w:szCs w:val="30"/>
        </w:rPr>
        <w:t>日安徽省第十三届人民代表大会常务委员会第十三次会议批准</w:t>
      </w:r>
      <w:r>
        <w:rPr>
          <w:rFonts w:hint="eastAsia" w:eastAsia="楷体_GB2312"/>
          <w:color w:val="000000"/>
        </w:rPr>
        <w:t>）</w:t>
      </w:r>
    </w:p>
    <w:p>
      <w:pPr>
        <w:pStyle w:val="Normal"/>
        <w:rPr>
          <w:rFonts w:eastAsia="楷体" w:cs="楷体"/>
          <w:color w:val="000000"/>
        </w:rPr>
      </w:pPr>
      <w:r>
        <w:rPr>
          <w:rFonts w:eastAsia="楷体" w:cs="楷体"/>
          <w:color w:val="000000"/>
        </w:rPr>
      </w:r>
    </w:p>
    <w:p>
      <w:pPr>
        <w:pStyle w:val="Normal"/>
        <w:jc w:val="center"/>
        <w:rPr>
          <w:rFonts w:eastAsia="楷体_GB2312"/>
          <w:szCs w:val="28"/>
        </w:rPr>
      </w:pPr>
      <w:r>
        <w:rPr>
          <w:rFonts w:hint="eastAsia" w:eastAsia="楷体_GB2312"/>
          <w:szCs w:val="28"/>
        </w:rPr>
        <w:t>目</w:t>
      </w:r>
      <w:r>
        <w:rPr>
          <w:rFonts w:eastAsia="楷体_GB2312"/>
          <w:szCs w:val="28"/>
        </w:rPr>
        <w:t xml:space="preserve">    </w:t>
      </w:r>
      <w:r>
        <w:rPr>
          <w:rFonts w:hint="eastAsia" w:eastAsia="楷体_GB2312"/>
          <w:szCs w:val="28"/>
        </w:rPr>
        <w:t>录</w:t>
      </w:r>
    </w:p>
    <w:p>
      <w:pPr>
        <w:pStyle w:val="Normal"/>
        <w:jc w:val="center"/>
        <w:rPr>
          <w:rFonts w:eastAsia="楷体_GB2312"/>
          <w:szCs w:val="28"/>
        </w:rPr>
      </w:pPr>
      <w:r>
        <w:rPr>
          <w:rFonts w:eastAsia="楷体_GB2312"/>
          <w:szCs w:val="28"/>
        </w:rPr>
      </w:r>
    </w:p>
    <w:p>
      <w:pPr>
        <w:pStyle w:val="Normal"/>
        <w:ind w:firstLineChars="196" w:startChars="0" w:start="0" w:endChars="0" w:end="0"/>
        <w:rPr>
          <w:rFonts w:eastAsia="楷体_GB2312"/>
        </w:rPr>
      </w:pPr>
      <w:r>
        <w:rPr>
          <w:rFonts w:hint="eastAsia" w:eastAsia="楷体_GB2312"/>
        </w:rPr>
        <w:t>第一章</w:t>
      </w:r>
      <w:r>
        <w:rPr>
          <w:rFonts w:eastAsia="楷体_GB2312"/>
        </w:rPr>
        <w:t xml:space="preserve">  </w:t>
      </w:r>
      <w:r>
        <w:rPr>
          <w:rFonts w:hint="eastAsia" w:eastAsia="楷体_GB2312"/>
        </w:rPr>
        <w:t>总    则</w:t>
      </w:r>
    </w:p>
    <w:p>
      <w:pPr>
        <w:pStyle w:val="Normal"/>
        <w:ind w:firstLineChars="196" w:startChars="0" w:start="0" w:endChars="0" w:end="0"/>
        <w:rPr>
          <w:rFonts w:eastAsia="楷体_GB2312"/>
        </w:rPr>
      </w:pPr>
      <w:r>
        <w:rPr>
          <w:rFonts w:hint="eastAsia" w:eastAsia="楷体_GB2312"/>
        </w:rPr>
        <w:t>第二章</w:t>
      </w:r>
      <w:r>
        <w:rPr>
          <w:rFonts w:eastAsia="楷体_GB2312"/>
        </w:rPr>
        <w:t xml:space="preserve">  </w:t>
      </w:r>
      <w:r>
        <w:rPr>
          <w:rFonts w:cs="黑体;SimHei" w:hint="eastAsia" w:eastAsia="楷体_GB2312"/>
          <w:color w:val="000000"/>
          <w:kern w:val="0"/>
        </w:rPr>
        <w:t>规划和设计管理</w:t>
      </w:r>
    </w:p>
    <w:p>
      <w:pPr>
        <w:pStyle w:val="Normal"/>
        <w:ind w:firstLineChars="196" w:startChars="0" w:start="0" w:endChars="0" w:end="0"/>
        <w:rPr>
          <w:rFonts w:eastAsia="楷体_GB2312"/>
        </w:rPr>
      </w:pPr>
      <w:r>
        <w:rPr>
          <w:rFonts w:hint="eastAsia" w:eastAsia="楷体_GB2312"/>
        </w:rPr>
        <w:t>第三章</w:t>
      </w:r>
      <w:r>
        <w:rPr>
          <w:rFonts w:eastAsia="楷体_GB2312"/>
        </w:rPr>
        <w:t xml:space="preserve">  </w:t>
      </w:r>
      <w:r>
        <w:rPr>
          <w:rFonts w:hint="eastAsia" w:eastAsia="楷体_GB2312"/>
        </w:rPr>
        <w:t>建设和质量管理</w:t>
      </w:r>
    </w:p>
    <w:p>
      <w:pPr>
        <w:pStyle w:val="Normal"/>
        <w:ind w:firstLineChars="196" w:startChars="0" w:start="0" w:endChars="0" w:end="0"/>
        <w:rPr>
          <w:rFonts w:eastAsia="楷体_GB2312"/>
        </w:rPr>
      </w:pPr>
      <w:r>
        <w:rPr>
          <w:rFonts w:hint="eastAsia" w:eastAsia="楷体_GB2312"/>
        </w:rPr>
        <w:t>第四章</w:t>
      </w:r>
      <w:r>
        <w:rPr>
          <w:rFonts w:eastAsia="楷体_GB2312"/>
        </w:rPr>
        <w:t xml:space="preserve">  </w:t>
      </w:r>
      <w:r>
        <w:rPr>
          <w:rFonts w:hint="eastAsia" w:eastAsia="楷体_GB2312"/>
        </w:rPr>
        <w:t>运营和维护管理</w:t>
      </w:r>
    </w:p>
    <w:p>
      <w:pPr>
        <w:pStyle w:val="Normal"/>
        <w:ind w:firstLineChars="196" w:startChars="0" w:start="0" w:endChars="0" w:end="0"/>
        <w:rPr>
          <w:rFonts w:eastAsia="楷体_GB2312"/>
        </w:rPr>
      </w:pPr>
      <w:r>
        <w:rPr>
          <w:rFonts w:hint="eastAsia" w:eastAsia="楷体_GB2312"/>
        </w:rPr>
        <w:t>第五章</w:t>
      </w:r>
      <w:r>
        <w:rPr>
          <w:rFonts w:eastAsia="楷体_GB2312"/>
        </w:rPr>
        <w:t xml:space="preserve">  </w:t>
      </w:r>
      <w:r>
        <w:rPr>
          <w:rFonts w:hint="eastAsia" w:eastAsia="楷体_GB2312"/>
        </w:rPr>
        <w:t>法律责任</w:t>
      </w:r>
    </w:p>
    <w:p>
      <w:pPr>
        <w:pStyle w:val="Normal"/>
        <w:ind w:firstLineChars="196" w:startChars="0" w:start="0" w:endChars="0" w:end="0"/>
        <w:rPr>
          <w:rFonts w:eastAsia="楷体_GB2312"/>
        </w:rPr>
      </w:pPr>
      <w:r>
        <w:rPr>
          <w:rFonts w:hint="eastAsia" w:eastAsia="楷体_GB2312"/>
        </w:rPr>
        <w:t>第六章</w:t>
      </w:r>
      <w:r>
        <w:rPr>
          <w:rFonts w:eastAsia="楷体_GB2312"/>
        </w:rPr>
        <w:t xml:space="preserve">  </w:t>
      </w:r>
      <w:r>
        <w:rPr>
          <w:rFonts w:hint="eastAsia" w:eastAsia="楷体_GB2312"/>
        </w:rPr>
        <w:t>附    则</w:t>
      </w:r>
    </w:p>
    <w:p>
      <w:pPr>
        <w:pStyle w:val="Normal"/>
        <w:jc w:val="center"/>
        <w:rPr>
          <w:rFonts w:eastAsia="楷体_GB2312"/>
          <w:color w:val="000000"/>
        </w:rPr>
      </w:pPr>
      <w:r>
        <w:rPr>
          <w:rFonts w:eastAsia="楷体_GB2312"/>
          <w:color w:val="000000"/>
        </w:rPr>
      </w:r>
    </w:p>
    <w:p>
      <w:pPr>
        <w:pStyle w:val="Normal"/>
        <w:jc w:val="center"/>
        <w:rPr/>
      </w:pPr>
      <w:r>
        <w:rPr>
          <w:rFonts w:cs="黑体;SimHei" w:hint="eastAsia" w:eastAsia="黑体;SimHei"/>
          <w:color w:val="000000"/>
          <w:kern w:val="0"/>
        </w:rPr>
        <w:t>第一章</w:t>
      </w:r>
      <w:r>
        <w:rPr>
          <w:rFonts w:cs="黑体;SimHei" w:eastAsia="黑体;SimHei"/>
          <w:color w:val="000000"/>
          <w:kern w:val="0"/>
        </w:rPr>
        <w:t xml:space="preserve">  </w:t>
      </w:r>
      <w:r>
        <w:rPr>
          <w:rFonts w:cs="黑体;SimHei" w:hint="eastAsia" w:eastAsia="黑体;SimHei"/>
          <w:color w:val="000000"/>
          <w:kern w:val="0"/>
        </w:rPr>
        <w:t>总</w:t>
      </w:r>
      <w:r>
        <w:rPr>
          <w:rFonts w:cs="黑体;SimHei" w:eastAsia="黑体;SimHei"/>
          <w:color w:val="000000"/>
          <w:kern w:val="0"/>
        </w:rPr>
        <w:t xml:space="preserve">    </w:t>
      </w:r>
      <w:r>
        <w:rPr>
          <w:rFonts w:cs="黑体;SimHei" w:hint="eastAsia" w:eastAsia="黑体;SimHei"/>
          <w:color w:val="000000"/>
          <w:kern w:val="0"/>
        </w:rPr>
        <w:t>则</w:t>
      </w:r>
    </w:p>
    <w:p>
      <w:pPr>
        <w:pStyle w:val="Normal"/>
        <w:jc w:val="center"/>
        <w:rPr>
          <w:rFonts w:eastAsia="黑体;SimHei" w:cs="黑体;SimHei" w:hint="eastAsia"/>
          <w:color w:val="000000"/>
          <w:kern w:val="0"/>
        </w:rPr>
      </w:pPr>
      <w:r>
        <w:rPr>
          <w:rFonts w:eastAsia="黑体;SimHei" w:cs="黑体;SimHei" w:hint="eastAsia"/>
          <w:color w:val="000000"/>
          <w:kern w:val="0"/>
        </w:rPr>
      </w:r>
    </w:p>
    <w:p>
      <w:pPr>
        <w:pStyle w:val="Normal"/>
        <w:ind w:firstLineChars="200" w:startChars="0" w:start="0" w:endChars="0" w:end="0"/>
        <w:rPr>
          <w:rFonts w:cs="仿宋"/>
          <w:color w:val="000000"/>
        </w:rPr>
      </w:pPr>
      <w:r>
        <w:rPr>
          <w:rFonts w:hint="eastAsia" w:eastAsia="黑体;SimHei"/>
          <w:color w:val="000000"/>
        </w:rPr>
        <w:t>第一条</w:t>
      </w:r>
      <w:r>
        <w:rPr>
          <w:rFonts w:eastAsia="黑体;SimHei"/>
          <w:color w:val="000000"/>
        </w:rPr>
        <w:t xml:space="preserve">  </w:t>
      </w:r>
      <w:r>
        <w:rPr>
          <w:rFonts w:cs="仿宋" w:hint="eastAsia"/>
          <w:color w:val="000000"/>
        </w:rPr>
        <w:t>为了规范海绵城市建设和管理，保护和改善城市生态环境，根据《中华人民共和国城乡规划法》《城镇排水与污水处理条例》《建设工程质量管理条例》和有关法律、行政法规规定，结合本市实际，制定本条例。</w:t>
      </w:r>
    </w:p>
    <w:p>
      <w:pPr>
        <w:pStyle w:val="Normal"/>
        <w:ind w:firstLineChars="200" w:startChars="0" w:start="0" w:endChars="0" w:end="0"/>
        <w:rPr>
          <w:rFonts w:cs="仿宋"/>
          <w:color w:val="000000"/>
        </w:rPr>
      </w:pPr>
      <w:r>
        <w:rPr>
          <w:rFonts w:cs="仿宋" w:hint="eastAsia" w:eastAsia="黑体;SimHei"/>
          <w:color w:val="000000"/>
        </w:rPr>
        <w:t>第二条</w:t>
      </w:r>
      <w:r>
        <w:rPr>
          <w:rFonts w:eastAsia="黑体;SimHei"/>
          <w:color w:val="000000"/>
        </w:rPr>
        <w:t xml:space="preserve">  </w:t>
      </w:r>
      <w:r>
        <w:rPr>
          <w:rFonts w:cs="仿宋" w:hint="eastAsia"/>
          <w:color w:val="000000"/>
        </w:rPr>
        <w:t>本条例适用于市和县、区城市规划确定的建设用地范围内的海绵城市建设和管理活动。</w:t>
      </w:r>
    </w:p>
    <w:p>
      <w:pPr>
        <w:pStyle w:val="Normal"/>
        <w:ind w:firstLineChars="200" w:startChars="0" w:start="0" w:endChars="0" w:end="0"/>
        <w:rPr>
          <w:rFonts w:cs="仿宋"/>
          <w:color w:val="000000"/>
        </w:rPr>
      </w:pPr>
      <w:r>
        <w:rPr>
          <w:rFonts w:cs="仿宋" w:hint="eastAsia"/>
          <w:color w:val="000000"/>
        </w:rPr>
        <w:t>本条例所称海绵城市，是指在城市建设和管理过程中，充分发挥建筑、道路和绿地、水系等生态系统对雨水的吸纳、蓄渗和缓释作用，有效控制雨水径流，实现自然积存、自然渗透、自然净化的城市发展方式。</w:t>
      </w:r>
    </w:p>
    <w:p>
      <w:pPr>
        <w:pStyle w:val="Normal"/>
        <w:ind w:firstLineChars="200" w:startChars="0" w:start="0" w:endChars="0" w:end="0"/>
        <w:rPr>
          <w:rFonts w:cs="仿宋"/>
          <w:color w:val="000000"/>
        </w:rPr>
      </w:pPr>
      <w:r>
        <w:rPr>
          <w:rFonts w:hint="eastAsia" w:eastAsia="黑体;SimHei"/>
          <w:color w:val="000000"/>
        </w:rPr>
        <w:t>第三条</w:t>
      </w:r>
      <w:r>
        <w:rPr>
          <w:rFonts w:eastAsia="黑体;SimHei"/>
          <w:color w:val="000000"/>
        </w:rPr>
        <w:t xml:space="preserve">  </w:t>
      </w:r>
      <w:r>
        <w:rPr>
          <w:rFonts w:cs="仿宋" w:hint="eastAsia"/>
          <w:color w:val="000000"/>
        </w:rPr>
        <w:t>海绵城市建设和管理应当遵循生态优先、自然循环、因地制宜、规划引领、政府引导、社会参与的原则。</w:t>
      </w:r>
    </w:p>
    <w:p>
      <w:pPr>
        <w:pStyle w:val="Normal"/>
        <w:ind w:firstLineChars="200" w:startChars="0" w:start="0" w:endChars="0" w:end="0"/>
        <w:rPr>
          <w:rFonts w:cs="仿宋"/>
          <w:color w:val="000000"/>
        </w:rPr>
      </w:pPr>
      <w:r>
        <w:rPr>
          <w:rFonts w:hint="eastAsia" w:eastAsia="黑体;SimHei"/>
          <w:color w:val="000000"/>
        </w:rPr>
        <w:t>第四条</w:t>
      </w:r>
      <w:r>
        <w:rPr>
          <w:rFonts w:eastAsia="黑体;SimHei"/>
          <w:color w:val="000000"/>
        </w:rPr>
        <w:t xml:space="preserve">  </w:t>
      </w:r>
      <w:r>
        <w:rPr>
          <w:rFonts w:cs="仿宋" w:hint="eastAsia"/>
          <w:color w:val="000000"/>
        </w:rPr>
        <w:t>市和县、区人民政府应当将海绵城市建设和管理工作纳入国民经济和社会发展规划，制定相应的激励和支持政策，细化工作目标和考核指标，开展绩效评价。</w:t>
      </w:r>
    </w:p>
    <w:p>
      <w:pPr>
        <w:pStyle w:val="Normal"/>
        <w:ind w:firstLineChars="200" w:startChars="0" w:start="0" w:endChars="0" w:end="0"/>
        <w:rPr>
          <w:rFonts w:cs="仿宋"/>
          <w:color w:val="000000"/>
          <w:spacing w:val="-4"/>
        </w:rPr>
      </w:pPr>
      <w:r>
        <w:rPr>
          <w:rFonts w:cs="仿宋" w:hint="eastAsia"/>
          <w:color w:val="000000"/>
        </w:rPr>
        <w:t>江</w:t>
      </w:r>
      <w:r>
        <w:rPr>
          <w:rFonts w:cs="仿宋" w:hint="eastAsia"/>
          <w:color w:val="000000"/>
          <w:spacing w:val="-4"/>
        </w:rPr>
        <w:t>南产业集中区、市经济技术开发区和相关风景区管委会应当按照市人民政府的要求做好本辖区海绵城市建设和管理工作。</w:t>
      </w:r>
    </w:p>
    <w:p>
      <w:pPr>
        <w:pStyle w:val="Normal"/>
        <w:ind w:firstLineChars="200" w:startChars="0" w:start="0" w:endChars="0" w:end="0"/>
        <w:rPr>
          <w:rFonts w:cs="仿宋"/>
          <w:color w:val="000000"/>
        </w:rPr>
      </w:pPr>
      <w:r>
        <w:rPr>
          <w:rFonts w:hint="eastAsia" w:eastAsia="黑体;SimHei"/>
          <w:color w:val="000000"/>
        </w:rPr>
        <w:t>第五条</w:t>
      </w:r>
      <w:r>
        <w:rPr>
          <w:rFonts w:eastAsia="黑体;SimHei"/>
          <w:color w:val="000000"/>
        </w:rPr>
        <w:t xml:space="preserve">  </w:t>
      </w:r>
      <w:r>
        <w:rPr>
          <w:rFonts w:cs="仿宋" w:hint="eastAsia"/>
          <w:color w:val="000000"/>
        </w:rPr>
        <w:t>市和县、区人民政府住房城乡建设行政主管部门依照本条例以及市和县、区人民政府规定的职责开展海绵城市建设和管理工作。</w:t>
      </w:r>
    </w:p>
    <w:p>
      <w:pPr>
        <w:pStyle w:val="Normal"/>
        <w:ind w:firstLineChars="200" w:startChars="0" w:start="0" w:endChars="0" w:end="0"/>
        <w:rPr>
          <w:rFonts w:cs="仿宋"/>
          <w:color w:val="000000"/>
        </w:rPr>
      </w:pPr>
      <w:r>
        <w:rPr>
          <w:rFonts w:cs="仿宋" w:hint="eastAsia"/>
          <w:color w:val="000000"/>
        </w:rPr>
        <w:t>市和县、区人民政府自然资源和规划、发展改革、财政、生态环境、城市管理行政执法、水利、审计、气象等部门按照各自职责，做好海绵城市建设和管理的相关工作。</w:t>
      </w:r>
    </w:p>
    <w:p>
      <w:pPr>
        <w:pStyle w:val="Normal"/>
        <w:ind w:firstLineChars="200" w:startChars="0" w:start="0" w:endChars="0" w:end="0"/>
        <w:rPr>
          <w:rFonts w:cs="仿宋"/>
          <w:color w:val="000000"/>
        </w:rPr>
      </w:pPr>
      <w:r>
        <w:rPr>
          <w:rFonts w:cs="黑体;SimHei" w:hint="eastAsia" w:eastAsia="黑体;SimHei"/>
          <w:color w:val="000000"/>
        </w:rPr>
        <w:t>第六</w:t>
      </w:r>
      <w:r>
        <w:rPr>
          <w:rFonts w:hint="eastAsia" w:eastAsia="黑体;SimHei"/>
          <w:color w:val="000000"/>
        </w:rPr>
        <w:t>条</w:t>
      </w:r>
      <w:r>
        <w:rPr>
          <w:rFonts w:eastAsia="黑体;SimHei"/>
          <w:color w:val="000000"/>
        </w:rPr>
        <w:t xml:space="preserve">  </w:t>
      </w:r>
      <w:r>
        <w:rPr>
          <w:rFonts w:cs="仿宋" w:hint="eastAsia"/>
          <w:color w:val="000000"/>
        </w:rPr>
        <w:t>市和县、区人民政府应当鼓励、支持海绵城市科学技术研究，加强人才队伍建设，推广应用先进适用的技术、工艺、设备和材料，发挥科学技术在海绵城市建设和管理中的支撑作用。</w:t>
      </w:r>
    </w:p>
    <w:p>
      <w:pPr>
        <w:pStyle w:val="Normal"/>
        <w:ind w:firstLineChars="200" w:startChars="0" w:start="0" w:endChars="0" w:end="0"/>
        <w:rPr>
          <w:rFonts w:cs="仿宋"/>
          <w:color w:val="000000"/>
        </w:rPr>
      </w:pPr>
      <w:r>
        <w:rPr>
          <w:rFonts w:cs="仿宋" w:hint="eastAsia"/>
          <w:color w:val="000000"/>
        </w:rPr>
        <w:t>市和县、区人民政府应当广泛开展海绵城市知识科普宣传，引导、鼓励单位和个人参与海绵城市建设和管理。</w:t>
      </w:r>
    </w:p>
    <w:p>
      <w:pPr>
        <w:pStyle w:val="Normal"/>
        <w:ind w:firstLineChars="200" w:startChars="0" w:start="0" w:endChars="0" w:end="0"/>
        <w:rPr>
          <w:rFonts w:cs="仿宋"/>
          <w:color w:val="000000"/>
        </w:rPr>
      </w:pPr>
      <w:r>
        <w:rPr>
          <w:rFonts w:cs="黑体;SimHei" w:hint="eastAsia" w:eastAsia="黑体;SimHei"/>
          <w:color w:val="000000"/>
        </w:rPr>
        <w:t>第七条</w:t>
      </w:r>
      <w:r>
        <w:rPr>
          <w:rFonts w:cs="黑体;SimHei" w:eastAsia="黑体;SimHei"/>
          <w:color w:val="000000"/>
        </w:rPr>
        <w:t xml:space="preserve">  </w:t>
      </w:r>
      <w:r>
        <w:rPr>
          <w:rFonts w:cs="仿宋" w:hint="eastAsia"/>
          <w:color w:val="000000"/>
        </w:rPr>
        <w:t>市和县、区人民政府可以采取特许经营、政府购买服务等形式，吸引社会资本参与海绵城市建设和管理。</w:t>
      </w:r>
    </w:p>
    <w:p>
      <w:pPr>
        <w:pStyle w:val="Normal"/>
        <w:ind w:firstLineChars="200" w:startChars="0" w:start="0" w:endChars="0" w:end="0"/>
        <w:rPr>
          <w:rFonts w:cs="仿宋"/>
          <w:color w:val="000000"/>
        </w:rPr>
      </w:pPr>
      <w:r>
        <w:rPr>
          <w:rFonts w:cs="仿宋"/>
          <w:color w:val="000000"/>
        </w:rPr>
      </w:r>
    </w:p>
    <w:p>
      <w:pPr>
        <w:pStyle w:val="Normal"/>
        <w:jc w:val="center"/>
        <w:rPr>
          <w:rFonts w:eastAsia="黑体;SimHei" w:cs="黑体;SimHei"/>
          <w:color w:val="000000"/>
          <w:kern w:val="0"/>
        </w:rPr>
      </w:pPr>
      <w:r>
        <w:rPr>
          <w:rFonts w:cs="黑体;SimHei" w:hint="eastAsia" w:eastAsia="黑体;SimHei"/>
          <w:color w:val="000000"/>
          <w:kern w:val="0"/>
        </w:rPr>
        <w:t>第二章</w:t>
      </w:r>
      <w:r>
        <w:rPr>
          <w:rFonts w:cs="黑体;SimHei" w:eastAsia="黑体;SimHei"/>
          <w:color w:val="000000"/>
          <w:kern w:val="0"/>
        </w:rPr>
        <w:t xml:space="preserve">  </w:t>
      </w:r>
      <w:r>
        <w:rPr>
          <w:rFonts w:cs="黑体;SimHei" w:hint="eastAsia" w:eastAsia="黑体;SimHei"/>
          <w:color w:val="000000"/>
          <w:kern w:val="0"/>
        </w:rPr>
        <w:t>规划和设计管理</w:t>
      </w:r>
    </w:p>
    <w:p>
      <w:pPr>
        <w:pStyle w:val="Normal"/>
        <w:ind w:firstLineChars="200" w:startChars="0" w:start="0" w:endChars="0" w:end="0"/>
        <w:rPr>
          <w:rFonts w:eastAsia="黑体;SimHei" w:cs="黑体;SimHei"/>
          <w:color w:val="000000"/>
          <w:kern w:val="0"/>
        </w:rPr>
      </w:pPr>
      <w:r>
        <w:rPr>
          <w:rFonts w:eastAsia="黑体;SimHei" w:cs="黑体;SimHei"/>
          <w:color w:val="000000"/>
          <w:kern w:val="0"/>
        </w:rPr>
      </w:r>
    </w:p>
    <w:p>
      <w:pPr>
        <w:pStyle w:val="Normal"/>
        <w:ind w:firstLineChars="200" w:startChars="0" w:start="0" w:endChars="0" w:end="0"/>
        <w:rPr>
          <w:rFonts w:cs="仿宋"/>
          <w:color w:val="000000"/>
          <w:spacing w:val="4"/>
        </w:rPr>
      </w:pPr>
      <w:r>
        <w:rPr>
          <w:rFonts w:hint="eastAsia" w:eastAsia="黑体;SimHei"/>
          <w:color w:val="000000"/>
        </w:rPr>
        <w:t>第八条</w:t>
      </w:r>
      <w:r>
        <w:rPr>
          <w:rFonts w:eastAsia="黑体;SimHei"/>
          <w:color w:val="000000"/>
        </w:rPr>
        <w:t xml:space="preserve">  </w:t>
      </w:r>
      <w:r>
        <w:rPr>
          <w:rFonts w:cs="仿宋" w:hint="eastAsia"/>
          <w:color w:val="000000"/>
          <w:spacing w:val="4"/>
        </w:rPr>
        <w:t>市、县人民政府住房城乡建设行政主管部门分别负责组织编制市、县海绵城市专项规划，报同级人民政府批准后实施。</w:t>
      </w:r>
    </w:p>
    <w:p>
      <w:pPr>
        <w:pStyle w:val="Normal"/>
        <w:ind w:firstLineChars="200" w:startChars="0" w:start="0" w:endChars="0" w:end="0"/>
        <w:rPr>
          <w:rFonts w:cs="仿宋"/>
          <w:color w:val="000000"/>
        </w:rPr>
      </w:pPr>
      <w:r>
        <w:rPr>
          <w:rFonts w:cs="仿宋" w:hint="eastAsia" w:eastAsia="黑体;SimHei"/>
          <w:color w:val="000000"/>
        </w:rPr>
        <w:t>第九条</w:t>
      </w:r>
      <w:r>
        <w:rPr>
          <w:rFonts w:cs="仿宋" w:eastAsia="黑体;SimHei"/>
          <w:color w:val="000000"/>
        </w:rPr>
        <w:t xml:space="preserve">  </w:t>
      </w:r>
      <w:r>
        <w:rPr>
          <w:rFonts w:cs="仿宋" w:hint="eastAsia"/>
          <w:color w:val="000000"/>
        </w:rPr>
        <w:t>编制城市总体规划、控制性详细规划以及道路、绿地、水系等相关专项规划时，应当将雨水年径流总量控制率作为约束性控制指标落实到排水分区当中。</w:t>
      </w:r>
    </w:p>
    <w:p>
      <w:pPr>
        <w:pStyle w:val="Normal"/>
        <w:ind w:firstLineChars="200" w:startChars="0" w:start="0" w:endChars="0" w:end="0"/>
        <w:rPr>
          <w:rFonts w:cs="仿宋"/>
          <w:color w:val="000000"/>
        </w:rPr>
      </w:pPr>
      <w:r>
        <w:rPr>
          <w:rFonts w:hint="eastAsia" w:eastAsia="黑体;SimHei"/>
          <w:color w:val="000000"/>
        </w:rPr>
        <w:t>第十条</w:t>
      </w:r>
      <w:r>
        <w:rPr>
          <w:rFonts w:eastAsia="黑体;SimHei"/>
          <w:color w:val="000000"/>
        </w:rPr>
        <w:t xml:space="preserve">  </w:t>
      </w:r>
      <w:r>
        <w:rPr>
          <w:rFonts w:cs="仿宋" w:hint="eastAsia"/>
          <w:color w:val="000000"/>
        </w:rPr>
        <w:t>市和县、区人民政府自然资源和规划行政主管部门供应城市建设用地时，应当明确海绵城市建设内容和指标要求，并纳入建设项目选址意见书、建设用地规划许可证、建设工程规划许可证。</w:t>
      </w:r>
    </w:p>
    <w:p>
      <w:pPr>
        <w:pStyle w:val="Normal"/>
        <w:ind w:firstLineChars="200" w:startChars="0" w:start="0" w:endChars="0" w:end="0"/>
        <w:rPr>
          <w:rFonts w:cs="仿宋"/>
          <w:color w:val="000000"/>
        </w:rPr>
      </w:pPr>
      <w:r>
        <w:rPr>
          <w:rFonts w:hint="eastAsia" w:eastAsia="黑体;SimHei"/>
          <w:color w:val="000000"/>
        </w:rPr>
        <w:t>第十一条</w:t>
      </w:r>
      <w:r>
        <w:rPr>
          <w:rFonts w:eastAsia="黑体;SimHei"/>
          <w:color w:val="000000"/>
        </w:rPr>
        <w:t xml:space="preserve">  </w:t>
      </w:r>
      <w:r>
        <w:rPr>
          <w:rFonts w:cs="仿宋" w:hint="eastAsia"/>
          <w:color w:val="000000"/>
        </w:rPr>
        <w:t>建设项目的项目建议书、可行性研究报告、初步设计、设计招标文件应当明确海绵城市建设要求。</w:t>
      </w:r>
    </w:p>
    <w:p>
      <w:pPr>
        <w:pStyle w:val="Normal"/>
        <w:ind w:firstLineChars="200" w:startChars="0" w:start="0" w:endChars="0" w:end="0"/>
        <w:rPr>
          <w:rFonts w:cs="仿宋"/>
          <w:color w:val="000000"/>
        </w:rPr>
      </w:pPr>
      <w:r>
        <w:rPr>
          <w:rFonts w:cs="仿宋" w:hint="eastAsia"/>
          <w:color w:val="000000"/>
        </w:rPr>
        <w:t>建设项目规划设计方案、施工图设计文件应当符合海绵城市建设技术规范和标准。</w:t>
      </w:r>
    </w:p>
    <w:p>
      <w:pPr>
        <w:pStyle w:val="Normal"/>
        <w:ind w:firstLineChars="200" w:startChars="0" w:start="0" w:endChars="0" w:end="0"/>
        <w:rPr>
          <w:rFonts w:cs="仿宋"/>
          <w:color w:val="000000"/>
        </w:rPr>
      </w:pPr>
      <w:r>
        <w:rPr>
          <w:rFonts w:hint="eastAsia" w:eastAsia="黑体;SimHei"/>
          <w:color w:val="000000"/>
        </w:rPr>
        <w:t>第十二条</w:t>
      </w:r>
      <w:r>
        <w:rPr>
          <w:rFonts w:eastAsia="黑体;SimHei"/>
          <w:color w:val="000000"/>
        </w:rPr>
        <w:t xml:space="preserve">  </w:t>
      </w:r>
      <w:r>
        <w:rPr>
          <w:rFonts w:cs="仿宋" w:hint="eastAsia"/>
          <w:color w:val="000000"/>
        </w:rPr>
        <w:t>勘察、设计单位应当按照海绵城市建设的技术规范和标准进行勘察、设计，并对勘察、设计质量负责。</w:t>
      </w:r>
    </w:p>
    <w:p>
      <w:pPr>
        <w:pStyle w:val="Normal"/>
        <w:ind w:firstLineChars="200" w:startChars="0" w:start="0" w:endChars="0" w:end="0"/>
        <w:rPr>
          <w:rFonts w:cs="仿宋"/>
          <w:color w:val="000000"/>
        </w:rPr>
      </w:pPr>
      <w:r>
        <w:rPr>
          <w:rFonts w:cs="仿宋" w:hint="eastAsia"/>
          <w:color w:val="000000"/>
        </w:rPr>
        <w:t>施工图设计文件审查机构应当依法对海绵城市设计内容进行审查，未达到海绵城市建设技术规范和标准的，不得出具施工图审查合格证书。</w:t>
      </w:r>
    </w:p>
    <w:p>
      <w:pPr>
        <w:pStyle w:val="Normal"/>
        <w:ind w:firstLineChars="200" w:startChars="0" w:start="0" w:endChars="0" w:end="0"/>
        <w:rPr>
          <w:rFonts w:cs="仿宋"/>
          <w:color w:val="000000"/>
        </w:rPr>
      </w:pPr>
      <w:r>
        <w:rPr>
          <w:rFonts w:cs="仿宋" w:hint="eastAsia" w:eastAsia="黑体;SimHei"/>
          <w:color w:val="000000"/>
        </w:rPr>
        <w:t>第十三条</w:t>
      </w:r>
      <w:r>
        <w:rPr>
          <w:rFonts w:eastAsia="黑体;SimHei"/>
          <w:color w:val="000000"/>
        </w:rPr>
        <w:t xml:space="preserve">  </w:t>
      </w:r>
      <w:r>
        <w:rPr>
          <w:rFonts w:cs="仿宋" w:hint="eastAsia"/>
          <w:color w:val="000000"/>
        </w:rPr>
        <w:t>市和县、区人民政府应当加强对海绵城市专项规划实施的监督检查。</w:t>
      </w:r>
    </w:p>
    <w:p>
      <w:pPr>
        <w:pStyle w:val="Normal"/>
        <w:ind w:firstLineChars="200" w:startChars="0" w:start="0" w:endChars="0" w:end="0"/>
        <w:rPr>
          <w:rFonts w:cs="仿宋"/>
          <w:color w:val="000000"/>
        </w:rPr>
      </w:pPr>
      <w:r>
        <w:rPr>
          <w:rFonts w:cs="仿宋"/>
          <w:color w:val="000000"/>
        </w:rPr>
      </w:r>
    </w:p>
    <w:p>
      <w:pPr>
        <w:pStyle w:val="Normal"/>
        <w:tabs>
          <w:tab w:val="clear" w:pos="420"/>
          <w:tab w:val="left" w:pos="-210" w:leader="none"/>
        </w:tabs>
        <w:jc w:val="center"/>
        <w:rPr>
          <w:rFonts w:eastAsia="黑体;SimHei" w:cs="黑体;SimHei"/>
          <w:color w:val="000000"/>
          <w:kern w:val="0"/>
        </w:rPr>
      </w:pPr>
      <w:r>
        <w:rPr>
          <w:rFonts w:cs="黑体;SimHei" w:hint="eastAsia" w:eastAsia="黑体;SimHei"/>
          <w:color w:val="000000"/>
          <w:kern w:val="0"/>
        </w:rPr>
        <w:t>第三章</w:t>
      </w:r>
      <w:r>
        <w:rPr>
          <w:rFonts w:cs="黑体;SimHei" w:eastAsia="黑体;SimHei"/>
          <w:color w:val="000000"/>
          <w:kern w:val="0"/>
        </w:rPr>
        <w:t xml:space="preserve">  </w:t>
      </w:r>
      <w:r>
        <w:rPr>
          <w:rFonts w:cs="黑体;SimHei" w:hint="eastAsia" w:eastAsia="黑体;SimHei"/>
          <w:color w:val="000000"/>
          <w:kern w:val="0"/>
        </w:rPr>
        <w:t>建设和质量管理</w:t>
      </w:r>
    </w:p>
    <w:p>
      <w:pPr>
        <w:pStyle w:val="Normal"/>
        <w:ind w:firstLineChars="200" w:startChars="0" w:start="0" w:endChars="0" w:end="0"/>
        <w:rPr>
          <w:rFonts w:eastAsia="黑体;SimHei" w:cs="黑体;SimHei"/>
          <w:color w:val="000000"/>
          <w:kern w:val="0"/>
        </w:rPr>
      </w:pPr>
      <w:r>
        <w:rPr>
          <w:rFonts w:eastAsia="黑体;SimHei" w:cs="黑体;SimHei"/>
          <w:color w:val="000000"/>
          <w:kern w:val="0"/>
        </w:rPr>
      </w:r>
    </w:p>
    <w:p>
      <w:pPr>
        <w:pStyle w:val="Normal"/>
        <w:ind w:firstLineChars="200" w:startChars="0" w:start="0" w:endChars="0" w:end="0"/>
        <w:rPr>
          <w:rFonts w:eastAsia="仿宋" w:cs="仿宋"/>
          <w:color w:val="000000"/>
        </w:rPr>
      </w:pPr>
      <w:r>
        <w:rPr>
          <w:rFonts w:hint="eastAsia" w:eastAsia="黑体;SimHei"/>
          <w:color w:val="000000"/>
        </w:rPr>
        <w:t>第十四条</w:t>
      </w:r>
      <w:r>
        <w:rPr>
          <w:rFonts w:eastAsia="黑体;SimHei"/>
          <w:color w:val="000000"/>
        </w:rPr>
        <w:t xml:space="preserve">  </w:t>
      </w:r>
      <w:r>
        <w:rPr>
          <w:rFonts w:cs="仿宋" w:hint="eastAsia"/>
          <w:color w:val="000000"/>
        </w:rPr>
        <w:t>海绵城市建设应当达到以下要求：</w:t>
      </w:r>
    </w:p>
    <w:p>
      <w:pPr>
        <w:pStyle w:val="Normal"/>
        <w:ind w:firstLineChars="200" w:startChars="0" w:start="0" w:endChars="0" w:end="0"/>
        <w:rPr>
          <w:rFonts w:cs="仿宋"/>
          <w:color w:val="000000"/>
        </w:rPr>
      </w:pPr>
      <w:r>
        <w:rPr>
          <w:rFonts w:cs="仿宋" w:hint="eastAsia"/>
          <w:color w:val="000000"/>
        </w:rPr>
        <w:t>（一）雨水年径流总量控制率符合规划要求，雨水积存蓄滞和收集利用能力提高；</w:t>
      </w:r>
    </w:p>
    <w:p>
      <w:pPr>
        <w:pStyle w:val="Normal"/>
        <w:ind w:firstLineChars="200" w:startChars="0" w:start="0" w:endChars="0" w:end="0"/>
        <w:rPr>
          <w:rFonts w:cs="仿宋"/>
          <w:color w:val="000000"/>
        </w:rPr>
      </w:pPr>
      <w:r>
        <w:rPr>
          <w:rFonts w:cs="仿宋" w:hint="eastAsia"/>
          <w:color w:val="000000"/>
        </w:rPr>
        <w:t>（二）雨污实现分流，径流污染、合流制污水溢流污染有效控制，城区黑臭水体基本消除；</w:t>
      </w:r>
    </w:p>
    <w:p>
      <w:pPr>
        <w:pStyle w:val="Normal"/>
        <w:ind w:firstLineChars="200" w:startChars="0" w:start="0" w:endChars="0" w:end="0"/>
        <w:rPr>
          <w:rFonts w:cs="仿宋"/>
          <w:color w:val="000000"/>
        </w:rPr>
      </w:pPr>
      <w:r>
        <w:rPr>
          <w:rFonts w:cs="仿宋" w:hint="eastAsia"/>
          <w:color w:val="000000"/>
        </w:rPr>
        <w:t>（三）城市防洪排涝能力提升、设施逐步完善，城市易涝点基本消除；</w:t>
      </w:r>
    </w:p>
    <w:p>
      <w:pPr>
        <w:pStyle w:val="Normal"/>
        <w:ind w:firstLineChars="200" w:startChars="0" w:start="0" w:endChars="0" w:end="0"/>
        <w:rPr>
          <w:rFonts w:cs="仿宋"/>
          <w:color w:val="000000"/>
        </w:rPr>
      </w:pPr>
      <w:r>
        <w:rPr>
          <w:rFonts w:cs="仿宋" w:hint="eastAsia"/>
          <w:color w:val="000000"/>
        </w:rPr>
        <w:t>（四）自然河流、湖泊、湿地等水生态系统得到保护，受破坏的水生态系统修复，热岛效应缓解；</w:t>
      </w:r>
    </w:p>
    <w:p>
      <w:pPr>
        <w:pStyle w:val="Normal"/>
        <w:ind w:firstLineChars="200" w:startChars="0" w:start="0" w:endChars="0" w:end="0"/>
        <w:rPr>
          <w:rFonts w:cs="仿宋"/>
          <w:color w:val="000000"/>
        </w:rPr>
      </w:pPr>
      <w:r>
        <w:rPr>
          <w:rFonts w:cs="仿宋" w:hint="eastAsia"/>
          <w:color w:val="000000"/>
        </w:rPr>
        <w:t>（五）其他要求。</w:t>
      </w:r>
    </w:p>
    <w:p>
      <w:pPr>
        <w:pStyle w:val="Normal"/>
        <w:ind w:firstLineChars="200" w:startChars="0" w:start="0" w:endChars="0" w:end="0"/>
        <w:rPr>
          <w:rFonts w:cs="仿宋"/>
          <w:color w:val="000000"/>
        </w:rPr>
      </w:pPr>
      <w:r>
        <w:rPr>
          <w:rFonts w:hint="eastAsia" w:eastAsia="黑体;SimHei"/>
          <w:color w:val="000000"/>
        </w:rPr>
        <w:t>第十五条</w:t>
      </w:r>
      <w:r>
        <w:rPr>
          <w:rFonts w:eastAsia="黑体;SimHei"/>
          <w:color w:val="000000"/>
        </w:rPr>
        <w:t xml:space="preserve">  </w:t>
      </w:r>
      <w:r>
        <w:rPr>
          <w:rFonts w:cs="仿宋" w:hint="eastAsia"/>
          <w:color w:val="000000"/>
        </w:rPr>
        <w:t>建设单位应当按照规划和设计要求以及施工技术规范，科学合理统筹施工，按照国家有关规定办理工程质量监督手续和施工许可证。</w:t>
      </w:r>
    </w:p>
    <w:p>
      <w:pPr>
        <w:pStyle w:val="Normal"/>
        <w:ind w:firstLineChars="200" w:startChars="0" w:start="0" w:endChars="0" w:end="0"/>
        <w:rPr>
          <w:rFonts w:cs="仿宋"/>
          <w:color w:val="000000"/>
          <w:spacing w:val="-6"/>
        </w:rPr>
      </w:pPr>
      <w:r>
        <w:rPr>
          <w:rFonts w:cs="仿宋" w:hint="eastAsia"/>
          <w:color w:val="000000"/>
          <w:spacing w:val="-6"/>
        </w:rPr>
        <w:t>施工单位应当按照工程设计图纸和施工技术标准进行施工，对</w:t>
      </w:r>
      <w:r>
        <w:rPr>
          <w:rFonts w:cs="仿宋" w:hint="eastAsia"/>
          <w:color w:val="000000"/>
          <w:spacing w:val="-6"/>
          <w:shd w:fill="FFFFFF" w:val="clear"/>
        </w:rPr>
        <w:t>使用的建筑材料、建筑构配件和设备进行检验，</w:t>
      </w:r>
      <w:r>
        <w:rPr>
          <w:rFonts w:cs="仿宋" w:hint="eastAsia"/>
          <w:color w:val="000000"/>
          <w:spacing w:val="-6"/>
        </w:rPr>
        <w:t>确保工程质量。</w:t>
      </w:r>
    </w:p>
    <w:p>
      <w:pPr>
        <w:pStyle w:val="Normal"/>
        <w:ind w:firstLineChars="200" w:startChars="0" w:start="0" w:endChars="0" w:end="0"/>
        <w:rPr>
          <w:rFonts w:cs="仿宋"/>
          <w:color w:val="000000"/>
        </w:rPr>
      </w:pPr>
      <w:r>
        <w:rPr>
          <w:rFonts w:cs="仿宋" w:hint="eastAsia"/>
          <w:color w:val="000000"/>
        </w:rPr>
        <w:t>监理单位应当依照法律、法规</w:t>
      </w:r>
      <w:r>
        <w:rPr>
          <w:rFonts w:cs="仿宋" w:hint="eastAsia"/>
          <w:color w:val="000000"/>
          <w:shd w:fill="FFFFFF" w:val="clear"/>
        </w:rPr>
        <w:t>以及海绵城市有关技术标准、设计文件、</w:t>
      </w:r>
      <w:hyperlink r:id="rId2" w:tgtFrame="https://baike.so.com/doc/_blank">
        <w:r>
          <w:rPr>
            <w:rStyle w:val="Hyperlink"/>
            <w:rFonts w:cs="仿宋" w:hint="eastAsia"/>
            <w:color w:val="000000"/>
          </w:rPr>
          <w:t>工程监理合同等</w:t>
        </w:r>
      </w:hyperlink>
      <w:r>
        <w:rPr>
          <w:rFonts w:cs="仿宋" w:hint="eastAsia"/>
          <w:color w:val="000000"/>
          <w:shd w:fill="FFFFFF" w:val="clear"/>
        </w:rPr>
        <w:t>实施监理，承担监理责任。</w:t>
      </w:r>
    </w:p>
    <w:p>
      <w:pPr>
        <w:pStyle w:val="Normal"/>
        <w:ind w:firstLineChars="200" w:startChars="0" w:start="0" w:endChars="0" w:end="0"/>
        <w:rPr>
          <w:rFonts w:cs="仿宋"/>
          <w:color w:val="000000"/>
        </w:rPr>
      </w:pPr>
      <w:r>
        <w:rPr>
          <w:rFonts w:hint="eastAsia" w:eastAsia="黑体;SimHei"/>
          <w:color w:val="000000"/>
        </w:rPr>
        <w:t>第十六条</w:t>
      </w:r>
      <w:r>
        <w:rPr>
          <w:rFonts w:eastAsia="黑体;SimHei"/>
          <w:color w:val="000000"/>
        </w:rPr>
        <w:t xml:space="preserve"> </w:t>
      </w:r>
      <w:r>
        <w:rPr>
          <w:color w:val="000000"/>
        </w:rPr>
        <w:t xml:space="preserve"> </w:t>
      </w:r>
      <w:r>
        <w:rPr>
          <w:rFonts w:cs="仿宋" w:hint="eastAsia"/>
          <w:color w:val="000000"/>
        </w:rPr>
        <w:t>市和县、区人民政府住房城乡建设行政主管部门应当将海绵城市建设项目纳入建设工程质量管理范围，加强监督管理。</w:t>
      </w:r>
    </w:p>
    <w:p>
      <w:pPr>
        <w:pStyle w:val="Normal"/>
        <w:ind w:firstLineChars="200" w:startChars="0" w:start="0" w:endChars="0" w:end="0"/>
        <w:rPr>
          <w:rFonts w:cs="仿宋_GB2312"/>
          <w:color w:val="000000"/>
          <w:spacing w:val="-4"/>
        </w:rPr>
      </w:pPr>
      <w:r>
        <w:rPr>
          <w:rFonts w:hint="eastAsia" w:eastAsia="黑体;SimHei"/>
          <w:color w:val="000000"/>
        </w:rPr>
        <w:t>第十七条</w:t>
      </w:r>
      <w:r>
        <w:rPr>
          <w:rFonts w:eastAsia="黑体;SimHei"/>
          <w:color w:val="000000"/>
        </w:rPr>
        <w:t xml:space="preserve"> </w:t>
      </w:r>
      <w:r>
        <w:rPr>
          <w:color w:val="000000"/>
        </w:rPr>
        <w:t xml:space="preserve"> </w:t>
      </w:r>
      <w:r>
        <w:rPr>
          <w:rFonts w:cs="仿宋" w:hint="eastAsia"/>
          <w:color w:val="000000"/>
          <w:spacing w:val="-4"/>
        </w:rPr>
        <w:t>建设单位在</w:t>
      </w:r>
      <w:r>
        <w:rPr>
          <w:rFonts w:cs="仿宋" w:hint="eastAsia"/>
          <w:color w:val="000000"/>
        </w:rPr>
        <w:t>建设工程项</w:t>
      </w:r>
      <w:r>
        <w:rPr>
          <w:rFonts w:cs="仿宋" w:hint="eastAsia"/>
          <w:color w:val="000000"/>
          <w:spacing w:val="-4"/>
        </w:rPr>
        <w:t>目竣工后，应当组织勘察、设计、施工、工程监理等有关单</w:t>
      </w:r>
      <w:r>
        <w:rPr>
          <w:rFonts w:cs="仿宋_GB2312" w:hint="eastAsia"/>
          <w:color w:val="000000"/>
          <w:spacing w:val="-4"/>
        </w:rPr>
        <w:t>位进行竣工验收，竣工验收报告中应当写明海绵城市建设项目实施情况，依法报备。</w:t>
      </w:r>
    </w:p>
    <w:p>
      <w:pPr>
        <w:pStyle w:val="Normal"/>
        <w:ind w:firstLineChars="200" w:startChars="0" w:start="0" w:endChars="0" w:end="0"/>
        <w:rPr>
          <w:rFonts w:cs="仿宋"/>
          <w:color w:val="000000"/>
        </w:rPr>
      </w:pPr>
      <w:r>
        <w:rPr>
          <w:rFonts w:hint="eastAsia" w:eastAsia="黑体;SimHei"/>
          <w:color w:val="000000"/>
        </w:rPr>
        <w:t>第十八条</w:t>
      </w:r>
      <w:r>
        <w:rPr>
          <w:rFonts w:eastAsia="黑体;SimHei"/>
          <w:color w:val="000000"/>
        </w:rPr>
        <w:t xml:space="preserve">  </w:t>
      </w:r>
      <w:r>
        <w:rPr>
          <w:rFonts w:cs="仿宋" w:hint="eastAsia"/>
          <w:color w:val="000000"/>
        </w:rPr>
        <w:t>海绵城市建设项目未经验收或者验收不合格的，不得交付使用。验收不合格的，建设单位应当组织返修或者重建。</w:t>
      </w:r>
    </w:p>
    <w:p>
      <w:pPr>
        <w:pStyle w:val="Heading2"/>
        <w:shd w:fill="FFFFFF" w:val="clear"/>
        <w:spacing w:before="0" w:after="0"/>
        <w:ind w:firstLineChars="200" w:startChars="0" w:start="0" w:endChars="0" w:end="0"/>
        <w:jc w:val="both"/>
        <w:rPr>
          <w:rFonts w:ascii="Times New Roman" w:hAnsi="Times New Roman" w:eastAsia="仿宋_GB2312" w:cs="仿宋"/>
          <w:b w:val="false"/>
          <w:bCs/>
          <w:color w:val="000000"/>
          <w:sz w:val="32"/>
          <w:szCs w:val="32"/>
        </w:rPr>
      </w:pPr>
      <w:r>
        <w:rPr>
          <w:rFonts w:ascii="Times New Roman" w:hAnsi="Times New Roman" w:cs="仿宋" w:eastAsia="黑体;SimHei"/>
          <w:b w:val="false"/>
          <w:bCs/>
          <w:color w:val="000000"/>
          <w:sz w:val="32"/>
          <w:szCs w:val="32"/>
        </w:rPr>
        <w:t>第十九条</w:t>
      </w:r>
      <w:r>
        <w:rPr>
          <w:rFonts w:ascii="Times New Roman" w:hAnsi="Times New Roman" w:cs="仿宋" w:eastAsia="黑体;SimHei"/>
          <w:color w:val="000000"/>
          <w:sz w:val="32"/>
          <w:szCs w:val="32"/>
        </w:rPr>
        <w:t xml:space="preserve">  </w:t>
      </w:r>
      <w:r>
        <w:rPr>
          <w:rFonts w:ascii="Times New Roman" w:hAnsi="Times New Roman" w:cs="仿宋" w:eastAsia="仿宋_GB2312"/>
          <w:b w:val="false"/>
          <w:bCs/>
          <w:color w:val="000000"/>
          <w:spacing w:val="5"/>
          <w:sz w:val="32"/>
          <w:szCs w:val="32"/>
        </w:rPr>
        <w:t>市和县、区人民政府应当运用大数据、互联网等技术手段，提升海绵城市建设和管理水平。</w:t>
      </w:r>
    </w:p>
    <w:p>
      <w:pPr>
        <w:pStyle w:val="Normal"/>
        <w:ind w:firstLineChars="200" w:startChars="0" w:start="0" w:endChars="0" w:end="0"/>
        <w:rPr>
          <w:rFonts w:cs="仿宋"/>
          <w:color w:val="000000"/>
          <w:spacing w:val="-4"/>
        </w:rPr>
      </w:pPr>
      <w:r>
        <w:rPr>
          <w:rFonts w:cs="仿宋" w:hint="eastAsia" w:eastAsia="黑体;SimHei"/>
          <w:color w:val="000000"/>
        </w:rPr>
        <w:t>第二十条</w:t>
      </w:r>
      <w:r>
        <w:rPr>
          <w:rFonts w:cs="仿宋" w:eastAsia="黑体;SimHei"/>
          <w:color w:val="000000"/>
        </w:rPr>
        <w:t xml:space="preserve">  </w:t>
      </w:r>
      <w:r>
        <w:rPr>
          <w:rFonts w:cs="仿宋" w:hint="eastAsia"/>
          <w:color w:val="000000"/>
          <w:spacing w:val="-4"/>
        </w:rPr>
        <w:t>市和县、区人民政府审计机关应当加强对政府投资的海绵城市建设项目资金筹集、管理和使用的监督，并依法公布审计结果。</w:t>
      </w:r>
    </w:p>
    <w:p>
      <w:pPr>
        <w:pStyle w:val="Normal"/>
        <w:ind w:firstLineChars="200" w:startChars="0" w:start="0" w:endChars="0" w:end="0"/>
        <w:rPr>
          <w:rFonts w:eastAsia="黑体;SimHei" w:cs="黑体;SimHei"/>
          <w:color w:val="000000"/>
          <w:spacing w:val="-4"/>
        </w:rPr>
      </w:pPr>
      <w:r>
        <w:rPr>
          <w:rFonts w:eastAsia="黑体;SimHei" w:cs="黑体;SimHei"/>
          <w:color w:val="000000"/>
          <w:spacing w:val="-4"/>
        </w:rPr>
      </w:r>
    </w:p>
    <w:p>
      <w:pPr>
        <w:pStyle w:val="Normal"/>
        <w:jc w:val="center"/>
        <w:rPr>
          <w:rFonts w:eastAsia="黑体;SimHei" w:cs="黑体;SimHei"/>
          <w:color w:val="000000"/>
        </w:rPr>
      </w:pPr>
      <w:r>
        <w:rPr>
          <w:rFonts w:cs="黑体;SimHei" w:hint="eastAsia" w:eastAsia="黑体;SimHei"/>
          <w:color w:val="000000"/>
        </w:rPr>
        <w:t>第四章</w:t>
      </w:r>
      <w:r>
        <w:rPr>
          <w:rFonts w:cs="黑体;SimHei" w:eastAsia="黑体;SimHei"/>
          <w:color w:val="000000"/>
        </w:rPr>
        <w:t xml:space="preserve">  </w:t>
      </w:r>
      <w:r>
        <w:rPr>
          <w:rFonts w:cs="黑体;SimHei" w:hint="eastAsia" w:eastAsia="黑体;SimHei"/>
          <w:color w:val="000000"/>
        </w:rPr>
        <w:t>运营和维护管理</w:t>
      </w:r>
    </w:p>
    <w:p>
      <w:pPr>
        <w:pStyle w:val="Normal"/>
        <w:ind w:firstLineChars="200" w:startChars="0" w:start="0" w:endChars="0" w:end="0"/>
        <w:rPr>
          <w:rFonts w:eastAsia="黑体;SimHei" w:cs="黑体;SimHei"/>
          <w:color w:val="000000"/>
        </w:rPr>
      </w:pPr>
      <w:r>
        <w:rPr>
          <w:rFonts w:eastAsia="黑体;SimHei" w:cs="黑体;SimHei"/>
          <w:color w:val="000000"/>
        </w:rPr>
      </w:r>
    </w:p>
    <w:p>
      <w:pPr>
        <w:pStyle w:val="Normal"/>
        <w:ind w:firstLineChars="200" w:startChars="0" w:start="0" w:endChars="0" w:end="0"/>
        <w:rPr>
          <w:color w:val="000000"/>
        </w:rPr>
      </w:pPr>
      <w:r>
        <w:rPr>
          <w:rFonts w:hint="eastAsia" w:eastAsia="黑体;SimHei"/>
          <w:color w:val="000000"/>
        </w:rPr>
        <w:t>第二十一条</w:t>
      </w:r>
      <w:r>
        <w:rPr>
          <w:rFonts w:eastAsia="黑体;SimHei"/>
          <w:color w:val="000000"/>
        </w:rPr>
        <w:t xml:space="preserve"> </w:t>
      </w:r>
      <w:r>
        <w:rPr>
          <w:color w:val="000000"/>
        </w:rPr>
        <w:t xml:space="preserve"> </w:t>
      </w:r>
      <w:r>
        <w:rPr>
          <w:rFonts w:cs="仿宋" w:hint="eastAsia"/>
          <w:color w:val="000000"/>
        </w:rPr>
        <w:t>建设单位应当在建设工程项目验收合格后三个月内，向城市建设档案行政主管部门报送项目档案资料。</w:t>
      </w:r>
    </w:p>
    <w:p>
      <w:pPr>
        <w:pStyle w:val="Normal"/>
        <w:ind w:firstLineChars="200" w:startChars="0" w:start="0" w:endChars="0" w:end="0"/>
        <w:rPr>
          <w:rFonts w:cs="仿宋"/>
          <w:color w:val="000000"/>
        </w:rPr>
      </w:pPr>
      <w:r>
        <w:rPr>
          <w:rFonts w:hint="eastAsia" w:eastAsia="黑体;SimHei"/>
          <w:color w:val="000000"/>
        </w:rPr>
        <w:t>第二十二条</w:t>
      </w:r>
      <w:r>
        <w:rPr>
          <w:rFonts w:eastAsia="黑体;SimHei"/>
          <w:color w:val="000000"/>
        </w:rPr>
        <w:t xml:space="preserve"> </w:t>
      </w:r>
      <w:r>
        <w:rPr>
          <w:color w:val="000000"/>
        </w:rPr>
        <w:t xml:space="preserve"> </w:t>
      </w:r>
      <w:r>
        <w:rPr>
          <w:rFonts w:cs="仿宋" w:hint="eastAsia"/>
          <w:color w:val="000000"/>
        </w:rPr>
        <w:t>政府购买服务模式的海绵城市建设项目，养护、维修按照合同约定执行。其他投资模式建设的海绵城市建设项目，养护、维修由所有权人、经营权人或者其他履行管理职责的单位负责。</w:t>
      </w:r>
    </w:p>
    <w:p>
      <w:pPr>
        <w:pStyle w:val="Normal"/>
        <w:ind w:firstLineChars="200" w:startChars="0" w:start="0" w:endChars="0" w:end="0"/>
        <w:rPr>
          <w:rFonts w:cs="仿宋"/>
          <w:color w:val="000000"/>
        </w:rPr>
      </w:pPr>
      <w:r>
        <w:rPr>
          <w:rFonts w:hint="eastAsia" w:eastAsia="黑体;SimHei"/>
          <w:color w:val="000000"/>
        </w:rPr>
        <w:t>第二十</w:t>
      </w:r>
      <w:r>
        <w:rPr>
          <w:rFonts w:cs="黑体;SimHei" w:hint="eastAsia" w:eastAsia="黑体;SimHei"/>
          <w:color w:val="000000"/>
        </w:rPr>
        <w:t>三</w:t>
      </w:r>
      <w:r>
        <w:rPr>
          <w:rFonts w:hint="eastAsia" w:eastAsia="黑体;SimHei"/>
          <w:color w:val="000000"/>
        </w:rPr>
        <w:t>条</w:t>
      </w:r>
      <w:r>
        <w:rPr>
          <w:rFonts w:eastAsia="黑体;SimHei"/>
          <w:color w:val="000000"/>
        </w:rPr>
        <w:t xml:space="preserve">  </w:t>
      </w:r>
      <w:r>
        <w:rPr>
          <w:rFonts w:cs="仿宋" w:hint="eastAsia"/>
          <w:color w:val="000000"/>
        </w:rPr>
        <w:t>海绵城市建设项目运营维护单位应当建立健全管理制度，加强日常巡查、维修和养护，保障设施正常运行。</w:t>
      </w:r>
    </w:p>
    <w:p>
      <w:pPr>
        <w:pStyle w:val="Normal"/>
        <w:ind w:firstLineChars="200" w:startChars="0" w:start="0" w:endChars="0" w:end="0"/>
        <w:rPr>
          <w:rFonts w:cs="仿宋"/>
          <w:color w:val="000000"/>
        </w:rPr>
      </w:pPr>
      <w:r>
        <w:rPr>
          <w:rFonts w:cs="仿宋" w:hint="eastAsia" w:eastAsia="黑体;SimHei"/>
          <w:color w:val="000000"/>
        </w:rPr>
        <w:t>第二十四条</w:t>
      </w:r>
      <w:r>
        <w:rPr>
          <w:rFonts w:eastAsia="黑体;SimHei"/>
          <w:color w:val="000000"/>
        </w:rPr>
        <w:t xml:space="preserve">  </w:t>
      </w:r>
      <w:r>
        <w:rPr>
          <w:rFonts w:cs="仿宋" w:hint="eastAsia"/>
          <w:color w:val="000000"/>
        </w:rPr>
        <w:t>市和县、区人民政府住房城乡建设行政主管部门应当依照职责在城市雨水行泄通道、易发生内涝路段、地下通道和湿塘、雨水湿地等区域设置警示标识标牌。</w:t>
      </w:r>
    </w:p>
    <w:p>
      <w:pPr>
        <w:pStyle w:val="Style14"/>
        <w:widowControl w:val="false"/>
        <w:shd w:fill="FFFFFF" w:val="clear"/>
        <w:spacing w:before="0" w:after="0"/>
        <w:ind w:firstLineChars="200" w:startChars="0" w:start="0" w:endChars="0" w:end="0"/>
        <w:jc w:val="both"/>
        <w:rPr>
          <w:rFonts w:ascii="Times New Roman" w:hAnsi="Times New Roman" w:eastAsia="仿宋_GB2312" w:cs="仿宋_GB2312"/>
          <w:sz w:val="32"/>
          <w:szCs w:val="32"/>
        </w:rPr>
      </w:pPr>
      <w:r>
        <w:rPr>
          <w:rFonts w:ascii="Times New Roman" w:hAnsi="Times New Roman" w:cs="黑体;SimHei" w:hint="eastAsia" w:eastAsia="黑体;SimHei"/>
          <w:sz w:val="32"/>
          <w:szCs w:val="32"/>
        </w:rPr>
        <w:t>第二十五条</w:t>
      </w:r>
      <w:r>
        <w:rPr>
          <w:rFonts w:ascii="Times New Roman" w:hAnsi="Times New Roman" w:cs="Times New Roman" w:eastAsia="黑体;SimHei"/>
          <w:sz w:val="32"/>
          <w:szCs w:val="32"/>
        </w:rPr>
        <w:t xml:space="preserve">  </w:t>
      </w:r>
      <w:r>
        <w:rPr>
          <w:rFonts w:ascii="Times New Roman" w:hAnsi="Times New Roman" w:cs="仿宋_GB2312" w:hint="eastAsia" w:eastAsia="仿宋_GB2312"/>
          <w:sz w:val="32"/>
          <w:szCs w:val="32"/>
        </w:rPr>
        <w:t>任何单位和个人不得擅自挖掘、拆除、改动、占用或者损坏海绵城市设施。</w:t>
      </w:r>
    </w:p>
    <w:p>
      <w:pPr>
        <w:pStyle w:val="Style14"/>
        <w:widowControl w:val="false"/>
        <w:shd w:fill="FFFFFF" w:val="clear"/>
        <w:spacing w:before="0" w:after="0"/>
        <w:ind w:firstLineChars="200" w:startChars="0" w:start="0" w:endChars="0" w:end="0"/>
        <w:jc w:val="both"/>
        <w:rPr>
          <w:rFonts w:ascii="Times New Roman" w:hAnsi="Times New Roman" w:eastAsia="仿宋_GB2312" w:cs="仿宋"/>
          <w:sz w:val="32"/>
          <w:szCs w:val="32"/>
        </w:rPr>
      </w:pPr>
      <w:r>
        <w:rPr>
          <w:rFonts w:ascii="Times New Roman" w:hAnsi="Times New Roman" w:cs="仿宋_GB2312" w:hint="eastAsia" w:eastAsia="仿宋_GB2312"/>
          <w:sz w:val="32"/>
          <w:szCs w:val="32"/>
        </w:rPr>
        <w:t>确因工程建设等需要，挖掘、拆除、改动、占用海绵城市设施的，应当依照权限报经市或者县、区人民政府住房城乡建设行政主管部门审核，并承担设施恢复或者改建费用。</w:t>
      </w:r>
    </w:p>
    <w:p>
      <w:pPr>
        <w:pStyle w:val="Normal"/>
        <w:ind w:firstLineChars="200" w:startChars="0" w:start="0" w:endChars="0" w:end="0"/>
        <w:rPr>
          <w:rFonts w:cs="仿宋"/>
          <w:color w:val="000000"/>
        </w:rPr>
      </w:pPr>
      <w:r>
        <w:rPr>
          <w:rFonts w:cs="仿宋" w:hint="eastAsia" w:eastAsia="黑体;SimHei"/>
          <w:color w:val="000000"/>
        </w:rPr>
        <w:t>第二十六条</w:t>
      </w:r>
      <w:r>
        <w:rPr>
          <w:rFonts w:cs="仿宋" w:eastAsia="黑体;SimHei"/>
          <w:color w:val="000000"/>
        </w:rPr>
        <w:t xml:space="preserve">  </w:t>
      </w:r>
      <w:r>
        <w:rPr>
          <w:rFonts w:cs="仿宋" w:hint="eastAsia"/>
          <w:color w:val="000000"/>
        </w:rPr>
        <w:t>市和县、区人民政府住房城乡建设行政主管部门应当适时组织对海绵城市建设项目的运行、维护效果进行评估，加强监督和考核，并将监督考核结果向社会公布。</w:t>
      </w:r>
    </w:p>
    <w:p>
      <w:pPr>
        <w:pStyle w:val="Normal"/>
        <w:ind w:firstLineChars="200" w:startChars="0" w:start="0" w:endChars="0" w:end="0"/>
        <w:rPr>
          <w:rFonts w:cs="仿宋"/>
          <w:color w:val="000000"/>
        </w:rPr>
      </w:pPr>
      <w:r>
        <w:rPr>
          <w:rFonts w:cs="仿宋" w:hint="eastAsia" w:eastAsia="黑体;SimHei"/>
          <w:color w:val="000000"/>
        </w:rPr>
        <w:t>第二十七条</w:t>
      </w:r>
      <w:r>
        <w:rPr>
          <w:rFonts w:eastAsia="黑体;SimHei"/>
          <w:color w:val="000000"/>
        </w:rPr>
        <w:t xml:space="preserve">  </w:t>
      </w:r>
      <w:r>
        <w:rPr>
          <w:rFonts w:cs="仿宋" w:hint="eastAsia"/>
          <w:color w:val="000000"/>
        </w:rPr>
        <w:t>市和县、区人民政府应当将市政公用海绵城市建设项目运营和维护管理费用纳入本级财政年度预算。非市政公用海绵城市建设项目运营和维护管理费用由所有权人或者经营权人承担。</w:t>
      </w:r>
    </w:p>
    <w:p>
      <w:pPr>
        <w:pStyle w:val="Normal"/>
        <w:jc w:val="center"/>
        <w:rPr>
          <w:rFonts w:eastAsia="黑体;SimHei" w:cs="黑体;SimHei"/>
          <w:color w:val="000000"/>
          <w:kern w:val="0"/>
        </w:rPr>
      </w:pPr>
      <w:r>
        <w:rPr>
          <w:rFonts w:cs="黑体;SimHei" w:hint="eastAsia" w:eastAsia="黑体;SimHei"/>
          <w:color w:val="000000"/>
          <w:kern w:val="0"/>
        </w:rPr>
        <w:t>第五章</w:t>
      </w:r>
      <w:r>
        <w:rPr>
          <w:rFonts w:cs="黑体;SimHei" w:eastAsia="黑体;SimHei"/>
          <w:color w:val="000000"/>
          <w:kern w:val="0"/>
        </w:rPr>
        <w:t xml:space="preserve">  </w:t>
      </w:r>
      <w:r>
        <w:rPr>
          <w:rFonts w:cs="黑体;SimHei" w:hint="eastAsia" w:eastAsia="黑体;SimHei"/>
          <w:color w:val="000000"/>
          <w:kern w:val="0"/>
        </w:rPr>
        <w:t>法律责任</w:t>
      </w:r>
    </w:p>
    <w:p>
      <w:pPr>
        <w:pStyle w:val="Style14"/>
        <w:widowControl w:val="false"/>
        <w:shd w:fill="FFFFFF" w:val="clear"/>
        <w:spacing w:before="0" w:after="0"/>
        <w:ind w:firstLineChars="200" w:startChars="0" w:start="0" w:endChars="0" w:end="0"/>
        <w:jc w:val="both"/>
        <w:rPr>
          <w:rFonts w:ascii="Times New Roman" w:hAnsi="Times New Roman" w:eastAsia="黑体;SimHei" w:cs="Times New Roman"/>
          <w:color w:val="000000"/>
          <w:kern w:val="0"/>
          <w:sz w:val="32"/>
          <w:szCs w:val="32"/>
        </w:rPr>
      </w:pPr>
      <w:r>
        <w:rPr>
          <w:rFonts w:eastAsia="黑体;SimHei" w:cs="Times New Roman" w:ascii="Times New Roman" w:hAnsi="Times New Roman"/>
          <w:color w:val="000000"/>
          <w:kern w:val="0"/>
          <w:sz w:val="32"/>
          <w:szCs w:val="32"/>
        </w:rPr>
      </w:r>
    </w:p>
    <w:p>
      <w:pPr>
        <w:pStyle w:val="Style14"/>
        <w:widowControl w:val="false"/>
        <w:shd w:fill="FFFFFF" w:val="clear"/>
        <w:spacing w:before="0" w:after="0"/>
        <w:ind w:firstLineChars="200" w:startChars="0" w:start="0" w:endChars="0" w:end="0"/>
        <w:jc w:val="both"/>
        <w:rPr>
          <w:rFonts w:ascii="Times New Roman" w:hAnsi="Times New Roman" w:eastAsia="仿宋_GB2312" w:cs="仿宋"/>
          <w:sz w:val="32"/>
          <w:szCs w:val="32"/>
        </w:rPr>
      </w:pPr>
      <w:r>
        <w:rPr>
          <w:rFonts w:ascii="Times New Roman" w:hAnsi="Times New Roman" w:cs="黑体;SimHei" w:hint="eastAsia" w:eastAsia="黑体;SimHei"/>
          <w:sz w:val="32"/>
          <w:szCs w:val="32"/>
        </w:rPr>
        <w:t>第二十八条</w:t>
      </w:r>
      <w:r>
        <w:rPr>
          <w:rFonts w:ascii="Times New Roman" w:hAnsi="Times New Roman" w:cs="Times New Roman" w:eastAsia="黑体;SimHei"/>
          <w:sz w:val="32"/>
          <w:szCs w:val="32"/>
        </w:rPr>
        <w:t xml:space="preserve">  </w:t>
      </w:r>
      <w:r>
        <w:rPr>
          <w:rFonts w:ascii="Times New Roman" w:hAnsi="Times New Roman" w:cs="仿宋" w:hint="eastAsia" w:eastAsia="仿宋_GB2312"/>
          <w:sz w:val="32"/>
          <w:szCs w:val="32"/>
        </w:rPr>
        <w:t>违反本条例第十五条第二款规定，施工单位有下列行为之一的，由城市管理行政主管部门责令限期改正，并按照下列规定处罚：</w:t>
      </w:r>
    </w:p>
    <w:p>
      <w:pPr>
        <w:pStyle w:val="Normal"/>
        <w:ind w:firstLineChars="200" w:startChars="0" w:start="0" w:endChars="0" w:end="0"/>
        <w:rPr>
          <w:rFonts w:cs="仿宋"/>
          <w:color w:val="000000"/>
        </w:rPr>
      </w:pPr>
      <w:r>
        <w:rPr>
          <w:rFonts w:cs="仿宋" w:hint="eastAsia"/>
          <w:color w:val="000000"/>
        </w:rPr>
        <w:t>（一）不按照工程设计图纸或者施工技术标准进行施工的，处工程合同价款百分之二以上百分之四以下的罚款；</w:t>
      </w:r>
    </w:p>
    <w:p>
      <w:pPr>
        <w:pStyle w:val="Normal"/>
        <w:ind w:firstLineChars="200" w:startChars="0" w:start="0" w:endChars="0" w:end="0"/>
        <w:rPr>
          <w:rFonts w:cs="仿宋"/>
          <w:color w:val="000000"/>
        </w:rPr>
      </w:pPr>
      <w:r>
        <w:rPr>
          <w:rFonts w:cs="仿宋" w:hint="eastAsia"/>
          <w:color w:val="000000"/>
        </w:rPr>
        <w:t>（二）未对使用的建筑材料、建筑构配件和设备进行检验的，处十万元以上二十万元以下罚款。</w:t>
      </w:r>
    </w:p>
    <w:p>
      <w:pPr>
        <w:pStyle w:val="Normal"/>
        <w:ind w:firstLineChars="200" w:startChars="0" w:start="0" w:endChars="0" w:end="0"/>
        <w:rPr>
          <w:rFonts w:cs="仿宋"/>
          <w:color w:val="000000"/>
        </w:rPr>
      </w:pPr>
      <w:r>
        <w:rPr>
          <w:rFonts w:cs="仿宋_GB2312" w:hint="eastAsia"/>
          <w:color w:val="000000"/>
        </w:rPr>
        <w:t>前款行为情节严重的，由有关机关依照法律法规予以处罚。</w:t>
      </w:r>
    </w:p>
    <w:p>
      <w:pPr>
        <w:pStyle w:val="Style14"/>
        <w:widowControl w:val="false"/>
        <w:shd w:fill="FFFFFF" w:val="clear"/>
        <w:spacing w:before="0" w:after="0"/>
        <w:ind w:firstLineChars="200" w:startChars="0" w:start="0" w:endChars="0" w:end="0"/>
        <w:jc w:val="both"/>
        <w:rPr>
          <w:rFonts w:ascii="Times New Roman" w:hAnsi="Times New Roman" w:eastAsia="仿宋_GB2312" w:cs="仿宋_GB2312"/>
          <w:sz w:val="32"/>
          <w:szCs w:val="32"/>
          <w:shd w:fill="FFFFFF" w:val="clear"/>
        </w:rPr>
      </w:pPr>
      <w:r>
        <w:rPr>
          <w:rFonts w:ascii="Times New Roman" w:hAnsi="Times New Roman" w:cs="黑体;SimHei" w:hint="eastAsia" w:eastAsia="黑体;SimHei"/>
          <w:sz w:val="32"/>
          <w:szCs w:val="32"/>
        </w:rPr>
        <w:t>第二十九条</w:t>
      </w:r>
      <w:r>
        <w:rPr>
          <w:rFonts w:ascii="Times New Roman" w:hAnsi="Times New Roman" w:cs="Times New Roman" w:eastAsia="黑体;SimHei"/>
          <w:sz w:val="32"/>
          <w:szCs w:val="32"/>
        </w:rPr>
        <w:t xml:space="preserve">  </w:t>
      </w:r>
      <w:r>
        <w:rPr>
          <w:rFonts w:ascii="Times New Roman" w:hAnsi="Times New Roman" w:cs="仿宋_GB2312" w:hint="eastAsia" w:eastAsia="仿宋_GB2312"/>
          <w:sz w:val="32"/>
          <w:szCs w:val="32"/>
        </w:rPr>
        <w:t>违反本条例第十七条规定，</w:t>
      </w:r>
      <w:r>
        <w:rPr>
          <w:rFonts w:ascii="Times New Roman" w:hAnsi="Times New Roman" w:cs="仿宋_GB2312" w:hint="eastAsia" w:eastAsia="仿宋_GB2312"/>
          <w:spacing w:val="-4"/>
          <w:sz w:val="32"/>
          <w:szCs w:val="32"/>
        </w:rPr>
        <w:t>建设单位在</w:t>
      </w:r>
      <w:r>
        <w:rPr>
          <w:rFonts w:ascii="Times New Roman" w:hAnsi="Times New Roman" w:cs="仿宋_GB2312" w:hint="eastAsia" w:eastAsia="仿宋_GB2312"/>
          <w:sz w:val="32"/>
          <w:szCs w:val="32"/>
        </w:rPr>
        <w:t>建设工程项</w:t>
      </w:r>
      <w:r>
        <w:rPr>
          <w:rFonts w:ascii="Times New Roman" w:hAnsi="Times New Roman" w:cs="仿宋_GB2312" w:hint="eastAsia" w:eastAsia="仿宋_GB2312"/>
          <w:spacing w:val="-4"/>
          <w:sz w:val="32"/>
          <w:szCs w:val="32"/>
        </w:rPr>
        <w:t>目竣工后，</w:t>
      </w:r>
      <w:r>
        <w:rPr>
          <w:rFonts w:ascii="Times New Roman" w:hAnsi="Times New Roman" w:cs="仿宋_GB2312" w:hint="eastAsia" w:eastAsia="仿宋_GB2312"/>
          <w:sz w:val="32"/>
          <w:szCs w:val="32"/>
        </w:rPr>
        <w:t>有下列行为之一的，由城市管理行政主管部门责令限期改正，并按照下列规定处罚：</w:t>
      </w:r>
    </w:p>
    <w:p>
      <w:pPr>
        <w:pStyle w:val="Normal"/>
        <w:ind w:firstLineChars="200" w:startChars="0" w:start="0" w:endChars="0" w:end="0"/>
        <w:rPr>
          <w:rFonts w:cs="仿宋_GB2312"/>
          <w:color w:val="000000"/>
          <w:spacing w:val="-4"/>
        </w:rPr>
      </w:pPr>
      <w:r>
        <w:rPr>
          <w:rFonts w:cs="仿宋_GB2312" w:hint="eastAsia"/>
          <w:color w:val="000000"/>
          <w:spacing w:val="-4"/>
        </w:rPr>
        <w:t>（一）未组织勘察、设计、施工、工程监理等有关单位进行竣工验收，擅自交付使用的，处工程合同价款百分之二以上百分之四以下罚款；</w:t>
      </w:r>
    </w:p>
    <w:p>
      <w:pPr>
        <w:pStyle w:val="Normal"/>
        <w:ind w:firstLineChars="200" w:startChars="0" w:start="0" w:endChars="0" w:end="0"/>
        <w:rPr>
          <w:rFonts w:cs="仿宋_GB2312"/>
          <w:color w:val="000000"/>
        </w:rPr>
      </w:pPr>
      <w:r>
        <w:rPr>
          <w:rFonts w:cs="仿宋_GB2312" w:hint="eastAsia"/>
          <w:color w:val="000000"/>
          <w:spacing w:val="-4"/>
        </w:rPr>
        <w:t>（二）未将竣工验收报告依法报备的，处二十万元以上五十万元以下罚款。</w:t>
      </w:r>
    </w:p>
    <w:p>
      <w:pPr>
        <w:pStyle w:val="Normal"/>
        <w:ind w:firstLineChars="200" w:startChars="0" w:start="0" w:endChars="0" w:end="0"/>
        <w:rPr>
          <w:rFonts w:cs="仿宋"/>
          <w:color w:val="000000"/>
          <w:shd w:fill="FFFFFF" w:val="clear"/>
        </w:rPr>
      </w:pPr>
      <w:r>
        <w:rPr>
          <w:rFonts w:cs="黑体;SimHei" w:hint="eastAsia" w:eastAsia="黑体;SimHei"/>
          <w:color w:val="000000"/>
        </w:rPr>
        <w:t>第三十条</w:t>
      </w:r>
      <w:r>
        <w:rPr>
          <w:rFonts w:cs="仿宋"/>
          <w:color w:val="000000"/>
          <w:shd w:fill="FFFFFF" w:val="clear"/>
        </w:rPr>
        <w:t xml:space="preserve">   </w:t>
      </w:r>
      <w:r>
        <w:rPr>
          <w:rFonts w:cs="仿宋" w:hint="eastAsia"/>
          <w:color w:val="000000"/>
          <w:shd w:fill="FFFFFF" w:val="clear"/>
        </w:rPr>
        <w:t>违反本条例第二十一条规定，建设单位未在</w:t>
      </w:r>
      <w:r>
        <w:rPr>
          <w:rFonts w:cs="仿宋" w:hint="eastAsia"/>
          <w:color w:val="000000"/>
        </w:rPr>
        <w:t>建设工程项目验收合格后三个月内向城市建设档案行政主管部门报送项目档案资料的</w:t>
      </w:r>
      <w:r>
        <w:rPr>
          <w:rFonts w:cs="仿宋" w:hint="eastAsia"/>
          <w:color w:val="000000"/>
          <w:shd w:fill="FFFFFF" w:val="clear"/>
        </w:rPr>
        <w:t>，由城市管理行政主管部门责令限期改正，并处一万元以上十万元以下罚款。</w:t>
      </w:r>
    </w:p>
    <w:p>
      <w:pPr>
        <w:pStyle w:val="Normal"/>
        <w:ind w:firstLineChars="200" w:startChars="0" w:start="0" w:endChars="0" w:end="0"/>
        <w:rPr>
          <w:rFonts w:cs="仿宋"/>
          <w:color w:val="000000"/>
        </w:rPr>
      </w:pPr>
      <w:r>
        <w:rPr>
          <w:rFonts w:cs="黑体;SimHei" w:hint="eastAsia" w:eastAsia="黑体;SimHei"/>
          <w:color w:val="000000"/>
        </w:rPr>
        <w:t>第三十一条</w:t>
      </w:r>
      <w:r>
        <w:rPr>
          <w:rFonts w:eastAsia="黑体;SimHei"/>
          <w:color w:val="000000"/>
        </w:rPr>
        <w:t xml:space="preserve">  </w:t>
      </w:r>
      <w:r>
        <w:rPr>
          <w:rFonts w:cs="仿宋" w:hint="eastAsia"/>
          <w:color w:val="000000"/>
        </w:rPr>
        <w:t>违反本条例第二十三条规定，海绵城市建设项目运营维护单位未履行日常巡查、维修和养护责任，造成设施不能正常运行的，由</w:t>
      </w:r>
      <w:r>
        <w:rPr>
          <w:rFonts w:cs="仿宋" w:hint="eastAsia"/>
          <w:color w:val="000000"/>
          <w:spacing w:val="4"/>
          <w:shd w:fill="FFFFFF" w:val="clear"/>
        </w:rPr>
        <w:t>城市管理行政主管部门</w:t>
      </w:r>
      <w:r>
        <w:rPr>
          <w:rFonts w:cs="仿宋" w:hint="eastAsia"/>
          <w:color w:val="000000"/>
        </w:rPr>
        <w:t>责令限期改正，并依法给予处罚。</w:t>
      </w:r>
    </w:p>
    <w:p>
      <w:pPr>
        <w:pStyle w:val="Normal"/>
        <w:ind w:firstLineChars="200" w:startChars="0" w:start="0" w:endChars="0" w:end="0"/>
        <w:rPr>
          <w:rFonts w:eastAsia="仿宋" w:cs="仿宋"/>
          <w:color w:val="000000"/>
        </w:rPr>
      </w:pPr>
      <w:r>
        <w:rPr>
          <w:rFonts w:cs="黑体;SimHei" w:hint="eastAsia" w:eastAsia="黑体;SimHei"/>
          <w:color w:val="000000"/>
        </w:rPr>
        <w:t>第三十二条</w:t>
      </w:r>
      <w:r>
        <w:rPr>
          <w:rFonts w:eastAsia="黑体;SimHei"/>
          <w:color w:val="000000"/>
        </w:rPr>
        <w:t xml:space="preserve">  </w:t>
      </w:r>
      <w:r>
        <w:rPr>
          <w:rFonts w:cs="仿宋" w:hint="eastAsia"/>
          <w:color w:val="000000"/>
        </w:rPr>
        <w:t>行政管理部门及其工作人员违反本条例规定，在海绵城市建设和管</w:t>
      </w:r>
      <w:r>
        <w:rPr>
          <w:rFonts w:cs="仿宋_GB2312" w:hint="eastAsia"/>
          <w:color w:val="000000"/>
        </w:rPr>
        <w:t>理中有滥用职权、玩忽职守、徇私舞弊等行为的，由有权机关依法对负有责任的主管人员和其他直接责任人员给予处分。</w:t>
      </w:r>
    </w:p>
    <w:p>
      <w:pPr>
        <w:pStyle w:val="Normal"/>
        <w:ind w:firstLineChars="200" w:startChars="0" w:start="0" w:endChars="0" w:end="0"/>
        <w:rPr>
          <w:rFonts w:cs="仿宋"/>
          <w:color w:val="000000"/>
        </w:rPr>
      </w:pPr>
      <w:r>
        <w:rPr>
          <w:rFonts w:cs="黑体;SimHei" w:hint="eastAsia" w:eastAsia="黑体;SimHei"/>
          <w:color w:val="000000"/>
        </w:rPr>
        <w:t>第三十三条</w:t>
      </w:r>
      <w:r>
        <w:rPr>
          <w:rFonts w:cs="仿宋" w:eastAsia="仿宋"/>
          <w:b/>
          <w:bCs/>
          <w:color w:val="000000"/>
        </w:rPr>
        <w:t xml:space="preserve">  </w:t>
      </w:r>
      <w:r>
        <w:rPr>
          <w:rFonts w:cs="仿宋" w:hint="eastAsia"/>
          <w:color w:val="000000"/>
        </w:rPr>
        <w:t>违反本条例规定的行为，法律、法规已有法律责任规定的，从其规定。</w:t>
      </w:r>
    </w:p>
    <w:p>
      <w:pPr>
        <w:pStyle w:val="Style14"/>
        <w:widowControl w:val="false"/>
        <w:shd w:fill="FFFFFF" w:val="clear"/>
        <w:spacing w:before="0" w:after="0"/>
        <w:ind w:firstLineChars="200" w:startChars="0" w:start="0" w:endChars="0" w:end="0"/>
        <w:jc w:val="both"/>
        <w:rPr>
          <w:rFonts w:ascii="Times New Roman" w:hAnsi="Times New Roman" w:eastAsia="仿宋_GB2312" w:cs="仿宋"/>
          <w:color w:val="000000"/>
          <w:sz w:val="32"/>
          <w:szCs w:val="32"/>
        </w:rPr>
      </w:pPr>
      <w:r>
        <w:rPr>
          <w:rFonts w:eastAsia="仿宋_GB2312" w:cs="仿宋" w:ascii="Times New Roman" w:hAnsi="Times New Roman"/>
          <w:color w:val="000000"/>
          <w:sz w:val="32"/>
          <w:szCs w:val="32"/>
        </w:rPr>
      </w:r>
    </w:p>
    <w:p>
      <w:pPr>
        <w:pStyle w:val="Normal"/>
        <w:jc w:val="center"/>
        <w:rPr>
          <w:rFonts w:eastAsia="黑体;SimHei" w:cs="黑体;SimHei"/>
          <w:color w:val="000000"/>
          <w:kern w:val="0"/>
        </w:rPr>
      </w:pPr>
      <w:r>
        <w:rPr>
          <w:rFonts w:cs="黑体;SimHei" w:hint="eastAsia" w:eastAsia="黑体;SimHei"/>
          <w:color w:val="000000"/>
          <w:kern w:val="0"/>
        </w:rPr>
        <w:t>第六章</w:t>
      </w:r>
      <w:r>
        <w:rPr>
          <w:rFonts w:cs="黑体;SimHei" w:eastAsia="黑体;SimHei"/>
          <w:color w:val="000000"/>
          <w:kern w:val="0"/>
        </w:rPr>
        <w:t xml:space="preserve">  </w:t>
      </w:r>
      <w:r>
        <w:rPr>
          <w:rFonts w:cs="黑体;SimHei" w:hint="eastAsia" w:eastAsia="黑体;SimHei"/>
          <w:color w:val="000000"/>
          <w:kern w:val="0"/>
        </w:rPr>
        <w:t>附</w:t>
      </w:r>
      <w:r>
        <w:rPr>
          <w:rFonts w:cs="黑体;SimHei" w:eastAsia="黑体;SimHei"/>
          <w:color w:val="000000"/>
          <w:kern w:val="0"/>
        </w:rPr>
        <w:t xml:space="preserve">    </w:t>
      </w:r>
      <w:r>
        <w:rPr>
          <w:rFonts w:cs="黑体;SimHei" w:hint="eastAsia" w:eastAsia="黑体;SimHei"/>
          <w:color w:val="000000"/>
          <w:kern w:val="0"/>
        </w:rPr>
        <w:t>则</w:t>
      </w:r>
    </w:p>
    <w:p>
      <w:pPr>
        <w:pStyle w:val="Normal"/>
        <w:ind w:firstLineChars="200" w:startChars="0" w:start="0" w:endChars="0" w:end="0"/>
        <w:rPr>
          <w:rFonts w:eastAsia="黑体;SimHei" w:cs="黑体;SimHei"/>
          <w:color w:val="000000"/>
          <w:kern w:val="0"/>
        </w:rPr>
      </w:pPr>
      <w:r>
        <w:rPr>
          <w:rFonts w:eastAsia="黑体;SimHei" w:cs="黑体;SimHei"/>
          <w:color w:val="000000"/>
          <w:kern w:val="0"/>
        </w:rPr>
      </w:r>
    </w:p>
    <w:p>
      <w:pPr>
        <w:pStyle w:val="Normal"/>
        <w:ind w:firstLineChars="200" w:startChars="0" w:start="0" w:endChars="0" w:end="0"/>
        <w:rPr>
          <w:color w:val="000000"/>
        </w:rPr>
      </w:pPr>
      <w:r>
        <w:rPr>
          <w:rFonts w:cs="黑体;SimHei" w:hint="eastAsia" w:eastAsia="黑体;SimHei"/>
          <w:color w:val="000000"/>
        </w:rPr>
        <w:t>第三十四条</w:t>
      </w:r>
      <w:r>
        <w:rPr>
          <w:rFonts w:cs="仿宋" w:eastAsia="仿宋"/>
          <w:color w:val="000000"/>
        </w:rPr>
        <w:t xml:space="preserve">  </w:t>
      </w:r>
      <w:r>
        <w:rPr>
          <w:rFonts w:cs="仿宋" w:hint="eastAsia"/>
          <w:color w:val="000000"/>
        </w:rPr>
        <w:t>本条例自</w:t>
      </w:r>
      <w:r>
        <w:rPr>
          <w:rFonts w:cs="仿宋"/>
          <w:color w:val="000000"/>
        </w:rPr>
        <w:t>2020</w:t>
      </w:r>
      <w:r>
        <w:rPr>
          <w:rFonts w:cs="仿宋" w:hint="eastAsia"/>
          <w:color w:val="000000"/>
        </w:rPr>
        <w:t>年</w:t>
      </w:r>
      <w:r>
        <w:rPr>
          <w:rFonts w:cs="仿宋"/>
          <w:color w:val="000000"/>
        </w:rPr>
        <w:t>1</w:t>
      </w:r>
      <w:r>
        <w:rPr>
          <w:rFonts w:cs="仿宋" w:hint="eastAsia"/>
          <w:color w:val="000000"/>
        </w:rPr>
        <w:t>月</w:t>
      </w:r>
      <w:r>
        <w:rPr>
          <w:rFonts w:cs="仿宋"/>
          <w:color w:val="000000"/>
        </w:rPr>
        <w:t>1</w:t>
      </w:r>
      <w:r>
        <w:rPr>
          <w:rFonts w:cs="仿宋" w:hint="eastAsia"/>
          <w:color w:val="000000"/>
        </w:rPr>
        <w:t>日起施行。</w:t>
      </w:r>
    </w:p>
    <w:p>
      <w:pPr>
        <w:pStyle w:val="Normal"/>
        <w:spacing w:lineRule="exact" w:line="600"/>
        <w:jc w:val="center"/>
        <w:rPr>
          <w:rFonts w:eastAsia="黑体;SimHei"/>
          <w:color w:val="000000"/>
        </w:rPr>
      </w:pPr>
      <w:r>
        <w:rPr>
          <w:rFonts w:eastAsia="黑体;SimHei"/>
          <w:color w:val="000000"/>
        </w:rPr>
      </w:r>
    </w:p>
    <w:p>
      <w:pPr>
        <w:pStyle w:val="Normal"/>
        <w:spacing w:lineRule="exact" w:line="600"/>
        <w:jc w:val="center"/>
        <w:rPr>
          <w:rFonts w:eastAsia="黑体;SimHei"/>
        </w:rPr>
      </w:pPr>
      <w:r>
        <w:rPr>
          <w:rFonts w:eastAsia="黑体;SimHei"/>
        </w:rPr>
      </w:r>
    </w:p>
    <w:p>
      <w:pPr>
        <w:pStyle w:val="Normal"/>
        <w:spacing w:lineRule="exact" w:line="240"/>
        <w:jc w:val="center"/>
        <w:rPr>
          <w:rFonts w:eastAsia="黑体;SimHei" w:hint="eastAsia"/>
        </w:rPr>
      </w:pPr>
      <w:r>
        <w:rPr>
          <w:rFonts w:eastAsia="黑体;SimHei" w:hint="eastAsia"/>
        </w:rPr>
      </w:r>
    </w:p>
    <w:p>
      <w:pPr>
        <w:pStyle w:val="Normal"/>
        <w:spacing w:lineRule="exact" w:line="240"/>
        <w:jc w:val="center"/>
        <w:rPr>
          <w:rFonts w:eastAsia="黑体;SimHei" w:hint="eastAsia"/>
        </w:rPr>
      </w:pPr>
      <w:r>
        <w:rPr>
          <w:rFonts w:eastAsia="黑体;SimHei" w:hint="eastAsia"/>
        </w:rPr>
      </w:r>
    </w:p>
    <w:sectPr>
      <w:footerReference w:type="default" r:id="rId3"/>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仿宋">
    <w:charset w:val="86"/>
    <w:family w:val="modern"/>
    <w:pitch w:val="default"/>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392.4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2">
    <w:name w:val="heading 2"/>
    <w:basedOn w:val="Normal"/>
    <w:next w:val="Normal"/>
    <w:qFormat/>
    <w:pPr>
      <w:numPr>
        <w:ilvl w:val="1"/>
        <w:numId w:val="1"/>
      </w:numPr>
      <w:spacing w:before="280" w:after="280"/>
      <w:jc w:val="start"/>
      <w:outlineLvl w:val="1"/>
    </w:pPr>
    <w:rPr>
      <w:rFonts w:ascii="宋体;SimSun" w:hAnsi="宋体;SimSun" w:eastAsia="宋体;SimSun" w:cs="宋体;SimSun" w:hint="eastAsia"/>
      <w:b/>
      <w:kern w:val="0"/>
      <w:sz w:val="36"/>
      <w:szCs w:val="36"/>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10z0">
    <w:name w:val="WW8Num10z0"/>
    <w:qFormat/>
    <w:rPr>
      <w:rFonts w:ascii="仿宋" w:hAnsi="仿宋" w:eastAsia="仿宋" w:cs="Times New Roman"/>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Style13">
    <w:name w:val="默认段落字体"/>
    <w:qFormat/>
    <w:rPr/>
  </w:style>
  <w:style w:type="character" w:styleId="PageNumber">
    <w:name w:val="page number"/>
    <w:basedOn w:val="Style13"/>
    <w:rPr/>
  </w:style>
  <w:style w:type="character" w:styleId="Emphasis">
    <w:name w:val="Emphasis"/>
    <w:qFormat/>
    <w:rPr>
      <w:i w:val="false"/>
      <w:iCs w:val="false"/>
      <w:color w:val="CC0000"/>
    </w:rPr>
  </w:style>
  <w:style w:type="character" w:styleId="Hyperlink">
    <w:name w:val="Hyperlink"/>
    <w:basedOn w:val="Style13"/>
    <w:rPr>
      <w:color w:val="0000FF"/>
      <w:u w:val="single"/>
    </w:rPr>
  </w:style>
  <w:style w:type="character" w:styleId="CharChar">
    <w:name w:val=" Char Char"/>
    <w:basedOn w:val="Style13"/>
    <w:qFormat/>
    <w:rPr>
      <w:rFonts w:eastAsia="仿宋_GB2312"/>
      <w:kern w:val="2"/>
      <w:sz w:val="18"/>
      <w:szCs w:val="18"/>
      <w:lang w:bidi="ar-SA"/>
    </w:rPr>
  </w:style>
  <w:style w:type="character" w:styleId="Strong">
    <w:name w:val="Strong"/>
    <w:basedOn w:val="Style13"/>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5">
    <w:name w:val="日期"/>
    <w:basedOn w:val="Normal"/>
    <w:next w:val="Normal"/>
    <w:qFormat/>
    <w:pPr>
      <w:ind w:firstLineChars="0" w:firstLine="0" w:startChars="2500" w:endChars="0" w:end="0"/>
    </w:pPr>
    <w:rPr/>
  </w:style>
  <w:style w:type="paragraph" w:styleId="Style16">
    <w:name w:val="文档结构图"/>
    <w:basedOn w:val="Normal"/>
    <w:qFormat/>
    <w:pPr>
      <w:shd w:fill="000080" w:val="clear"/>
    </w:pPr>
    <w:rPr/>
  </w:style>
  <w:style w:type="paragraph" w:styleId="Char1">
    <w:name w:val=" Char"/>
    <w:basedOn w:val="Style16"/>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7">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c0">
    <w:name w:val="c0"/>
    <w:basedOn w:val="Normal"/>
    <w:qFormat/>
    <w:pPr>
      <w:widowControl/>
      <w:spacing w:before="280" w:after="280"/>
      <w:jc w:val="start"/>
    </w:pPr>
    <w:rPr>
      <w:rFonts w:ascii="宋体;SimSun" w:hAnsi="宋体;SimSun" w:eastAsia="宋体;SimSun" w:cs="宋体;SimSu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5542754-5757857.html"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2019-12-02T15:32:00Z</dcterms:created>
  <dc:creator>ch</dc:creator>
  <dc:description/>
  <cp:keywords/>
  <dc:language>en-US</dc:language>
  <cp:lastModifiedBy>ntko</cp:lastModifiedBy>
  <cp:lastPrinted>2019-05-27T16:02:00Z</cp:lastPrinted>
  <dcterms:modified xsi:type="dcterms:W3CDTF">2019-12-02T15:33:00Z</dcterms:modified>
  <cp:revision>6</cp:revision>
  <dc:subject/>
  <dc:title>板心</dc:title>
</cp:coreProperties>
</file>