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ind w:firstLineChars="0" w:firstLine="0" w:startChars="0" w:start="0" w:endChars="100"/>
        <w:rPr>
          <w:rFonts w:hint="eastAsia"/>
          <w:color w:val="000000"/>
        </w:rPr>
      </w:pPr>
      <w:r>
        <w:rPr>
          <w:rFonts w:hint="eastAsia"/>
          <w:color w:val="000000"/>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ascii="方正小标宋简体" w:hAnsi="方正小标宋简体" w:hint="eastAsia" w:eastAsia="方正小标宋简体"/>
          <w:sz w:val="44"/>
          <w:szCs w:val="44"/>
        </w:rPr>
        <w:t>黄山市农药安全管理条例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九</w:t>
      </w:r>
      <w:r>
        <w:rPr>
          <w:rFonts w:ascii="仿宋_GB2312" w:hAnsi="仿宋_GB2312"/>
          <w:color w:val="000000"/>
        </w:rPr>
        <w:t>次会议审查了</w:t>
      </w:r>
      <w:r>
        <w:rPr>
          <w:rFonts w:ascii="仿宋_GB2312" w:hAnsi="仿宋_GB2312" w:hint="eastAsia"/>
          <w:color w:val="000000"/>
        </w:rPr>
        <w:t>《</w:t>
      </w:r>
      <w:r>
        <w:rPr>
          <w:rFonts w:hint="eastAsia"/>
          <w:color w:val="000000"/>
        </w:rPr>
        <w:t>黄山市农药安全管理条例</w:t>
      </w:r>
      <w:r>
        <w:rPr>
          <w:rFonts w:ascii="仿宋_GB2312" w:hAnsi="仿宋_GB2312" w:hint="eastAsia"/>
          <w:color w:val="000000"/>
        </w:rPr>
        <w:t>》</w:t>
      </w:r>
      <w:r>
        <w:rPr>
          <w:rFonts w:ascii="仿宋_GB2312" w:hAnsi="仿宋_GB2312"/>
          <w:color w:val="000000"/>
        </w:rPr>
        <w:t>，决定予以批准，由</w:t>
      </w:r>
      <w:r>
        <w:rPr>
          <w:rFonts w:cs="宋体;SimSun" w:hint="eastAsia"/>
          <w:color w:val="000000"/>
          <w:kern w:val="0"/>
        </w:rPr>
        <w:t>黄山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80"/>
        <w:jc w:val="center"/>
        <w:rPr>
          <w:rFonts w:eastAsia="方正小标宋简体" w:hint="eastAsia"/>
          <w:color w:val="000000"/>
          <w:sz w:val="44"/>
          <w:szCs w:val="44"/>
        </w:rPr>
      </w:pPr>
      <w:r>
        <w:rPr>
          <w:rFonts w:hint="eastAsia" w:eastAsia="方正小标宋简体"/>
          <w:color w:val="000000"/>
          <w:sz w:val="44"/>
          <w:szCs w:val="44"/>
        </w:rPr>
        <w:t>黄山市农药安全管理条例</w:t>
      </w:r>
    </w:p>
    <w:p>
      <w:pPr>
        <w:pStyle w:val="Normal"/>
        <w:rPr>
          <w:rFonts w:eastAsia="方正小标宋简体" w:hint="eastAsia"/>
          <w:color w:val="000000"/>
          <w:sz w:val="44"/>
          <w:szCs w:val="44"/>
        </w:rPr>
      </w:pPr>
      <w:r>
        <w:rPr>
          <w:rFonts w:eastAsia="方正小标宋简体" w:hint="eastAsia"/>
          <w:color w:val="000000"/>
          <w:sz w:val="44"/>
          <w:szCs w:val="44"/>
        </w:rPr>
      </w:r>
    </w:p>
    <w:p>
      <w:pPr>
        <w:pStyle w:val="Normal"/>
        <w:ind w:firstLineChars="200" w:startChars="0" w:start="0" w:endChars="0" w:end="0"/>
        <w:rPr/>
      </w:pPr>
      <w:r>
        <w:rPr>
          <w:rFonts w:hint="eastAsia" w:eastAsia="楷体_GB2312"/>
          <w:color w:val="000000"/>
        </w:rPr>
        <w:t>（</w:t>
      </w:r>
      <w:r>
        <w:rPr>
          <w:rFonts w:eastAsia="楷体_GB2312" w:hint="eastAsia"/>
          <w:color w:val="000000"/>
        </w:rPr>
        <w:t>2018</w:t>
      </w:r>
      <w:r>
        <w:rPr>
          <w:rFonts w:hint="eastAsia" w:eastAsia="楷体_GB2312"/>
          <w:color w:val="000000"/>
        </w:rPr>
        <w:t>年</w:t>
      </w:r>
      <w:r>
        <w:rPr>
          <w:rFonts w:eastAsia="楷体_GB2312" w:hint="eastAsia"/>
          <w:color w:val="000000"/>
        </w:rPr>
        <w:t>12</w:t>
      </w:r>
      <w:r>
        <w:rPr>
          <w:rFonts w:hint="eastAsia" w:eastAsia="楷体_GB2312"/>
          <w:color w:val="000000"/>
        </w:rPr>
        <w:t>月</w:t>
      </w:r>
      <w:r>
        <w:rPr>
          <w:rFonts w:eastAsia="楷体_GB2312" w:hint="eastAsia"/>
          <w:color w:val="000000"/>
        </w:rPr>
        <w:t>5</w:t>
      </w:r>
      <w:r>
        <w:rPr>
          <w:rFonts w:hint="eastAsia" w:eastAsia="楷体_GB2312"/>
          <w:color w:val="000000"/>
        </w:rPr>
        <w:t>日黄山市第七届人民代表大会常务委员会第七次会议通过</w:t>
      </w:r>
      <w:r>
        <w:rPr>
          <w:rFonts w:hint="eastAsia" w:eastAsia="楷体_GB2312"/>
          <w:bCs/>
          <w:color w:val="000000"/>
        </w:rPr>
        <w:t xml:space="preserve">  </w:t>
      </w:r>
      <w:r>
        <w:rPr>
          <w:rFonts w:eastAsia="楷体_GB2312"/>
          <w:kern w:val="0"/>
        </w:rPr>
        <w:t>201</w:t>
      </w:r>
      <w:r>
        <w:rPr>
          <w:rFonts w:eastAsia="楷体_GB2312" w:hint="eastAsia"/>
          <w:kern w:val="0"/>
        </w:rPr>
        <w:t>9</w:t>
      </w:r>
      <w:r>
        <w:rPr>
          <w:rFonts w:eastAsia="楷体_GB2312"/>
          <w:kern w:val="0"/>
        </w:rPr>
        <w:t>年</w:t>
      </w:r>
      <w:r>
        <w:rPr>
          <w:rFonts w:eastAsia="楷体_GB2312" w:hint="eastAsia"/>
          <w:kern w:val="0"/>
        </w:rPr>
        <w:t>3</w:t>
      </w:r>
      <w:r>
        <w:rPr>
          <w:rFonts w:eastAsia="楷体_GB2312"/>
          <w:kern w:val="0"/>
        </w:rPr>
        <w:t>月</w:t>
      </w:r>
      <w:r>
        <w:rPr>
          <w:rFonts w:eastAsia="楷体_GB2312" w:hint="eastAsia"/>
          <w:kern w:val="0"/>
        </w:rPr>
        <w:t>29</w:t>
      </w:r>
      <w:r>
        <w:rPr>
          <w:rFonts w:eastAsia="楷体_GB2312"/>
          <w:kern w:val="0"/>
        </w:rPr>
        <w:t>日安徽省第十</w:t>
      </w:r>
      <w:r>
        <w:rPr>
          <w:rFonts w:hint="eastAsia" w:eastAsia="楷体_GB2312"/>
          <w:kern w:val="0"/>
        </w:rPr>
        <w:t>三</w:t>
      </w:r>
      <w:r>
        <w:rPr>
          <w:rFonts w:eastAsia="楷体_GB2312"/>
          <w:kern w:val="0"/>
        </w:rPr>
        <w:t>届人民代表大会常务委员会第</w:t>
      </w:r>
      <w:r>
        <w:rPr>
          <w:rFonts w:hint="eastAsia" w:eastAsia="楷体_GB2312"/>
          <w:kern w:val="0"/>
        </w:rPr>
        <w:t>九</w:t>
      </w:r>
      <w:r>
        <w:rPr>
          <w:rFonts w:eastAsia="楷体_GB2312"/>
          <w:kern w:val="0"/>
        </w:rPr>
        <w:t>次会议</w:t>
      </w:r>
      <w:r>
        <w:rPr>
          <w:rFonts w:hint="eastAsia" w:eastAsia="楷体_GB2312"/>
          <w:kern w:val="0"/>
        </w:rPr>
        <w:t>批准</w:t>
      </w:r>
      <w:r>
        <w:rPr>
          <w:rFonts w:hint="eastAsia" w:eastAsia="楷体_GB2312"/>
          <w:color w:val="000000"/>
        </w:rPr>
        <w:t>）</w:t>
      </w:r>
    </w:p>
    <w:p>
      <w:pPr>
        <w:pStyle w:val="Normal"/>
        <w:rPr>
          <w:rFonts w:eastAsia="楷体_GB2312" w:hint="eastAsia"/>
          <w:color w:val="000000"/>
        </w:rPr>
      </w:pPr>
      <w:r>
        <w:rPr>
          <w:rFonts w:eastAsia="楷体_GB2312" w:hint="eastAsia"/>
          <w:color w:val="000000"/>
        </w:rPr>
      </w:r>
    </w:p>
    <w:p>
      <w:pPr>
        <w:pStyle w:val="Normal"/>
        <w:rPr/>
      </w:pPr>
      <w:r>
        <w:rPr>
          <w:rFonts w:hint="eastAsia"/>
          <w:color w:val="000000"/>
        </w:rPr>
        <w:t xml:space="preserve">    </w:t>
      </w:r>
      <w:r>
        <w:rPr>
          <w:rFonts w:hint="eastAsia" w:eastAsia="黑体;SimHei"/>
          <w:color w:val="000000"/>
        </w:rPr>
        <w:t>第一条</w:t>
      </w:r>
      <w:r>
        <w:rPr>
          <w:rFonts w:hint="eastAsia"/>
          <w:color w:val="000000"/>
        </w:rPr>
        <w:t xml:space="preserve">  为了加强农药安全管理，保障农产品质量安全，保护生态环境，根据《中华人民共和国环境保护法》《农药管理条例》和有关法律、行政法规规定，结合本市实际，制定本条例。</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第二条</w:t>
      </w:r>
      <w:r>
        <w:rPr>
          <w:rFonts w:hint="eastAsia"/>
          <w:color w:val="000000"/>
        </w:rPr>
        <w:t xml:space="preserve">  本条例适用于本市行政区域内农药经营、使用及其监督管理活动。</w:t>
      </w:r>
    </w:p>
    <w:p>
      <w:pPr>
        <w:pStyle w:val="Normal"/>
        <w:rPr/>
      </w:pPr>
      <w:r>
        <w:rPr>
          <w:rFonts w:hint="eastAsia"/>
          <w:color w:val="000000"/>
        </w:rPr>
        <w:t xml:space="preserve">    </w:t>
      </w:r>
      <w:r>
        <w:rPr>
          <w:rFonts w:hint="eastAsia" w:eastAsia="黑体;SimHei"/>
          <w:color w:val="000000"/>
        </w:rPr>
        <w:t>第三条</w:t>
      </w:r>
      <w:r>
        <w:rPr>
          <w:rFonts w:hint="eastAsia"/>
          <w:color w:val="000000"/>
        </w:rPr>
        <w:t xml:space="preserve">  农药安全管理遵循统一管理、分级负责、绿色引领、依法治药的原则，坚持农药安全使用与保护生态环境、保障农产品质量安全并重。</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 xml:space="preserve">第四条 </w:t>
      </w:r>
      <w:r>
        <w:rPr>
          <w:rFonts w:hint="eastAsia"/>
          <w:color w:val="000000"/>
        </w:rPr>
        <w:t xml:space="preserve"> 市、县（区）人民政府应当加强对农药安全监督管理工作的组织领导，将农药安全监督管理经费列入本级财政预算。</w:t>
      </w:r>
    </w:p>
    <w:p>
      <w:pPr>
        <w:pStyle w:val="Normal"/>
        <w:rPr/>
      </w:pPr>
      <w:r>
        <w:rPr>
          <w:rFonts w:hint="eastAsia"/>
          <w:color w:val="000000"/>
        </w:rPr>
        <w:t xml:space="preserve">    </w:t>
      </w:r>
      <w:r>
        <w:rPr>
          <w:rFonts w:hint="eastAsia" w:eastAsia="黑体;SimHei"/>
          <w:color w:val="000000"/>
        </w:rPr>
        <w:t>第五条</w:t>
      </w:r>
      <w:r>
        <w:rPr>
          <w:rFonts w:hint="eastAsia"/>
          <w:color w:val="000000"/>
        </w:rPr>
        <w:t xml:space="preserve">  市、县（区）人民政府农业行政主管部门负责本行政区域内的农药安全监督管理工作。</w:t>
      </w:r>
    </w:p>
    <w:p>
      <w:pPr>
        <w:pStyle w:val="Normal"/>
        <w:rPr>
          <w:rFonts w:hint="eastAsia"/>
          <w:color w:val="000000"/>
        </w:rPr>
      </w:pPr>
      <w:r>
        <w:rPr>
          <w:rFonts w:hint="eastAsia"/>
          <w:color w:val="000000"/>
        </w:rPr>
        <w:t xml:space="preserve">    </w:t>
      </w:r>
      <w:r>
        <w:rPr>
          <w:rFonts w:hint="eastAsia"/>
          <w:color w:val="000000"/>
        </w:rPr>
        <w:t>市、县（区）人民政府其他有关部门在各自职责范围内负责有关的农药安全监督管理工作。</w:t>
      </w:r>
    </w:p>
    <w:p>
      <w:pPr>
        <w:pStyle w:val="Normal"/>
        <w:rPr>
          <w:rFonts w:hint="eastAsia"/>
          <w:color w:val="000000"/>
        </w:rPr>
      </w:pPr>
      <w:r>
        <w:rPr>
          <w:rFonts w:hint="eastAsia"/>
          <w:color w:val="000000"/>
        </w:rPr>
        <w:t xml:space="preserve">    </w:t>
      </w:r>
      <w:r>
        <w:rPr>
          <w:rFonts w:hint="eastAsia"/>
          <w:color w:val="000000"/>
        </w:rPr>
        <w:t>乡镇人民政府应当协助农药安全监督管理部门对农药销售、</w:t>
      </w:r>
      <w:r>
        <w:rPr>
          <w:rFonts w:hint="eastAsia"/>
          <w:color w:val="000000"/>
          <w:spacing w:val="-8"/>
        </w:rPr>
        <w:t>使用进行监督检查；组织、宣传、指导农民安全、科学地使用农药。</w:t>
      </w:r>
    </w:p>
    <w:p>
      <w:pPr>
        <w:pStyle w:val="Normal"/>
        <w:rPr/>
      </w:pPr>
      <w:r>
        <w:rPr>
          <w:rFonts w:hint="eastAsia"/>
          <w:color w:val="000000"/>
        </w:rPr>
        <w:t xml:space="preserve">    </w:t>
      </w:r>
      <w:r>
        <w:rPr>
          <w:rFonts w:hint="eastAsia" w:eastAsia="黑体;SimHei"/>
          <w:color w:val="000000"/>
        </w:rPr>
        <w:t>第六条</w:t>
      </w:r>
      <w:r>
        <w:rPr>
          <w:rFonts w:hint="eastAsia"/>
          <w:color w:val="000000"/>
        </w:rPr>
        <w:t xml:space="preserve">  农药批发、零售依法实行经营许可制度，但经营卫生用农药的除外。</w:t>
      </w:r>
    </w:p>
    <w:p>
      <w:pPr>
        <w:pStyle w:val="Normal"/>
        <w:rPr>
          <w:rFonts w:hint="eastAsia"/>
          <w:color w:val="000000"/>
        </w:rPr>
      </w:pPr>
      <w:r>
        <w:rPr>
          <w:rFonts w:hint="eastAsia"/>
          <w:color w:val="000000"/>
        </w:rPr>
        <w:t xml:space="preserve">    </w:t>
      </w:r>
      <w:r>
        <w:rPr>
          <w:rFonts w:hint="eastAsia"/>
          <w:color w:val="000000"/>
        </w:rPr>
        <w:t>申请农药批发经营的，由市人民政府农业行政主管部门审查批准，核发农药经营许可证。</w:t>
      </w:r>
    </w:p>
    <w:p>
      <w:pPr>
        <w:pStyle w:val="Normal"/>
        <w:rPr>
          <w:rFonts w:hint="eastAsia"/>
          <w:color w:val="000000"/>
        </w:rPr>
      </w:pPr>
      <w:r>
        <w:rPr>
          <w:rFonts w:hint="eastAsia"/>
          <w:color w:val="000000"/>
        </w:rPr>
        <w:t xml:space="preserve">    </w:t>
      </w:r>
      <w:r>
        <w:rPr>
          <w:rFonts w:hint="eastAsia"/>
          <w:color w:val="000000"/>
        </w:rPr>
        <w:t>申请农药零售经营的，由经营者所在地县（区）人民政府农业行政主管部门审查批准，核发农药经营许可证。</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 xml:space="preserve">第七条 </w:t>
      </w:r>
      <w:r>
        <w:rPr>
          <w:rFonts w:hint="eastAsia"/>
          <w:color w:val="000000"/>
        </w:rPr>
        <w:t xml:space="preserve"> 鼓励农药批发经营者建设区域配送体系，完善农药仓储物流基础设施，建立农药经营网络，发展统一配送、统一价格、统一标识、统一服务的农药网点。</w:t>
      </w:r>
    </w:p>
    <w:p>
      <w:pPr>
        <w:pStyle w:val="Normal"/>
        <w:rPr>
          <w:rFonts w:hint="eastAsia"/>
          <w:color w:val="000000"/>
        </w:rPr>
      </w:pPr>
      <w:r>
        <w:rPr>
          <w:rFonts w:hint="eastAsia"/>
          <w:color w:val="000000"/>
        </w:rPr>
        <w:t xml:space="preserve">    </w:t>
      </w:r>
      <w:r>
        <w:rPr>
          <w:rFonts w:hint="eastAsia"/>
          <w:color w:val="000000"/>
        </w:rPr>
        <w:t>鼓励农药零售经营者从本市符合条件的农药批发经营者处购进农药。</w:t>
      </w:r>
    </w:p>
    <w:p>
      <w:pPr>
        <w:pStyle w:val="Normal"/>
        <w:rPr/>
      </w:pPr>
      <w:r>
        <w:rPr>
          <w:rFonts w:eastAsia="黑体;SimHei" w:hint="eastAsia"/>
          <w:color w:val="000000"/>
        </w:rPr>
        <w:t xml:space="preserve">    </w:t>
      </w:r>
      <w:r>
        <w:rPr>
          <w:rFonts w:hint="eastAsia" w:eastAsia="黑体;SimHei"/>
          <w:color w:val="000000"/>
        </w:rPr>
        <w:t>第八条</w:t>
      </w:r>
      <w:r>
        <w:rPr>
          <w:rFonts w:hint="eastAsia"/>
          <w:color w:val="000000"/>
        </w:rPr>
        <w:t xml:space="preserve">  市人民政府农业行政主管部门根据农作物种植结构、病虫草鼠害交替演变规律、主要农产品质量风险监测和农业生产安全需要制定《黄山市农药安全使用指导目录》（以下简称《目录》）。</w:t>
      </w:r>
    </w:p>
    <w:p>
      <w:pPr>
        <w:pStyle w:val="Normal"/>
        <w:rPr>
          <w:rFonts w:hint="eastAsia"/>
          <w:color w:val="000000"/>
        </w:rPr>
      </w:pPr>
      <w:r>
        <w:rPr>
          <w:rFonts w:hint="eastAsia"/>
          <w:color w:val="000000"/>
        </w:rPr>
        <w:t xml:space="preserve">    </w:t>
      </w:r>
      <w:r>
        <w:rPr>
          <w:rFonts w:hint="eastAsia"/>
          <w:color w:val="000000"/>
        </w:rPr>
        <w:t>列入《目录》的农药以高效、低风险和生物农药、环境友好剂型为原则，按照农药有效成分、剂型、毒性加以标注。</w:t>
      </w:r>
    </w:p>
    <w:p>
      <w:pPr>
        <w:pStyle w:val="Normal"/>
        <w:rPr>
          <w:rFonts w:hint="eastAsia"/>
          <w:color w:val="000000"/>
        </w:rPr>
      </w:pPr>
      <w:r>
        <w:rPr>
          <w:rFonts w:hint="eastAsia"/>
          <w:color w:val="000000"/>
        </w:rPr>
        <w:t xml:space="preserve">    </w:t>
      </w:r>
      <w:r>
        <w:rPr>
          <w:rFonts w:hint="eastAsia"/>
          <w:color w:val="000000"/>
        </w:rPr>
        <w:t>国家明令禁止在茶叶、菊花、中草药材、蔬菜、瓜果等作物上使用的农药品种不得纳入《目录》。</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 xml:space="preserve">第九条 </w:t>
      </w:r>
      <w:r>
        <w:rPr>
          <w:rFonts w:hint="eastAsia"/>
          <w:color w:val="000000"/>
        </w:rPr>
        <w:t xml:space="preserve"> 《目录》制定应当征求管理者、经营者、使用者和有关方面的意见，组织专家评审论证，必要时举行听证会。</w:t>
      </w:r>
    </w:p>
    <w:p>
      <w:pPr>
        <w:pStyle w:val="Normal"/>
        <w:rPr/>
      </w:pPr>
      <w:r>
        <w:rPr>
          <w:rFonts w:hint="eastAsia"/>
          <w:color w:val="000000"/>
        </w:rPr>
        <w:t xml:space="preserve">    </w:t>
      </w:r>
      <w:r>
        <w:rPr>
          <w:rFonts w:hint="eastAsia" w:eastAsia="黑体;SimHei"/>
          <w:color w:val="000000"/>
        </w:rPr>
        <w:t>第十条</w:t>
      </w:r>
      <w:r>
        <w:rPr>
          <w:rFonts w:hint="eastAsia"/>
          <w:color w:val="000000"/>
        </w:rPr>
        <w:t xml:space="preserve">  因防治病虫害和其他特殊紧急需要临时使用《目录》外农药的，市、县（区）人民政府农业行政主管部门应当加强管理和指导，建立健全农药安全、合理使用制度。</w:t>
      </w:r>
    </w:p>
    <w:p>
      <w:pPr>
        <w:pStyle w:val="Normal"/>
        <w:rPr/>
      </w:pPr>
      <w:r>
        <w:rPr>
          <w:rFonts w:hint="eastAsia"/>
          <w:color w:val="000000"/>
        </w:rPr>
        <w:t xml:space="preserve">    </w:t>
      </w:r>
      <w:r>
        <w:rPr>
          <w:rFonts w:hint="eastAsia" w:eastAsia="黑体;SimHei"/>
          <w:color w:val="000000"/>
        </w:rPr>
        <w:t>第十一条</w:t>
      </w:r>
      <w:r>
        <w:rPr>
          <w:rFonts w:hint="eastAsia"/>
          <w:color w:val="000000"/>
        </w:rPr>
        <w:t xml:space="preserve">  农药经营者应当对其经营的农药的安全性、有效性负责，自觉接受政府监管和社会监督。</w:t>
      </w:r>
    </w:p>
    <w:p>
      <w:pPr>
        <w:pStyle w:val="Normal"/>
        <w:rPr/>
      </w:pPr>
      <w:r>
        <w:rPr>
          <w:rFonts w:hint="eastAsia"/>
          <w:color w:val="000000"/>
        </w:rPr>
        <w:t xml:space="preserve">    </w:t>
      </w:r>
      <w:r>
        <w:rPr>
          <w:rFonts w:hint="eastAsia" w:eastAsia="黑体;SimHei"/>
          <w:color w:val="000000"/>
        </w:rPr>
        <w:t xml:space="preserve">第十二条 </w:t>
      </w:r>
      <w:r>
        <w:rPr>
          <w:rFonts w:hint="eastAsia"/>
          <w:color w:val="000000"/>
        </w:rPr>
        <w:t xml:space="preserve"> 农药经营者、使用者在储存、运输、销售、使用、处置农药过程中，应当遵守国家有关规定，自觉履行环境保护义务，防止、减少农药对环境污染和生态破坏，对所造成的损害依法承担法律责任。</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第十三条</w:t>
      </w:r>
      <w:r>
        <w:rPr>
          <w:rFonts w:hint="eastAsia"/>
          <w:color w:val="000000"/>
        </w:rPr>
        <w:t xml:space="preserve">  鼓励采用生物防治、物理防治、先进施药器械和专业化防治等措施，逐步减少农药使用量。对使用低毒、安全、高效农药或者采用生物、物理等技术防治病虫害的，市、县（区）人民政府给予奖励。具体奖励办法由市人民政府另行制定。</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第十四条</w:t>
      </w:r>
      <w:r>
        <w:rPr>
          <w:rFonts w:hint="eastAsia"/>
          <w:color w:val="000000"/>
        </w:rPr>
        <w:t xml:space="preserve">  市、县（区）人民政府农业行政主管部门应当加强对农药使用的管理和指导，建立健全农药安全使用的培训指导制度。</w:t>
      </w:r>
    </w:p>
    <w:p>
      <w:pPr>
        <w:pStyle w:val="Normal"/>
        <w:rPr>
          <w:rFonts w:hint="eastAsia"/>
          <w:color w:val="000000"/>
        </w:rPr>
      </w:pPr>
      <w:r>
        <w:rPr>
          <w:rFonts w:hint="eastAsia"/>
          <w:color w:val="000000"/>
        </w:rPr>
        <w:t xml:space="preserve">    </w:t>
      </w:r>
      <w:r>
        <w:rPr>
          <w:rFonts w:hint="eastAsia"/>
          <w:color w:val="000000"/>
        </w:rPr>
        <w:t>鼓励农业科研单位、有关学校、农药经营者、农民专业合作社、供销合作社、农业社会化服务组织和专业人员为农药使用者提供技术服务。</w:t>
      </w:r>
    </w:p>
    <w:p>
      <w:pPr>
        <w:pStyle w:val="Normal"/>
        <w:rPr>
          <w:rFonts w:hint="eastAsia"/>
          <w:color w:val="000000"/>
        </w:rPr>
      </w:pPr>
      <w:r>
        <w:rPr>
          <w:rFonts w:hint="eastAsia"/>
          <w:color w:val="000000"/>
        </w:rPr>
        <w:t xml:space="preserve">    </w:t>
      </w:r>
      <w:r>
        <w:rPr>
          <w:rFonts w:hint="eastAsia" w:eastAsia="黑体;SimHei"/>
          <w:color w:val="000000"/>
        </w:rPr>
        <w:t>第十五条</w:t>
      </w:r>
      <w:r>
        <w:rPr>
          <w:rFonts w:hint="eastAsia"/>
          <w:color w:val="000000"/>
        </w:rPr>
        <w:t xml:space="preserve">  农药经营者应当建立购销台账，如实记录农药的名称、有关许可证明文件编号、规格、数量、生产企业和供销人</w:t>
      </w:r>
      <w:r>
        <w:rPr>
          <w:rFonts w:hint="eastAsia"/>
          <w:color w:val="000000"/>
          <w:spacing w:val="-6"/>
        </w:rPr>
        <w:t>名称及其联系方式、购销日期等内容。购销台账应当保存</w:t>
      </w:r>
      <w:r>
        <w:rPr>
          <w:rFonts w:hint="eastAsia"/>
          <w:color w:val="000000"/>
          <w:spacing w:val="-6"/>
        </w:rPr>
        <w:t>2</w:t>
      </w:r>
      <w:r>
        <w:rPr>
          <w:rFonts w:hint="eastAsia"/>
          <w:color w:val="000000"/>
          <w:spacing w:val="-6"/>
        </w:rPr>
        <w:t>年以上。</w:t>
      </w:r>
    </w:p>
    <w:p>
      <w:pPr>
        <w:pStyle w:val="Normal"/>
        <w:rPr/>
      </w:pPr>
      <w:r>
        <w:rPr>
          <w:rFonts w:hint="eastAsia"/>
          <w:color w:val="000000"/>
        </w:rPr>
        <w:t xml:space="preserve">    </w:t>
      </w:r>
      <w:r>
        <w:rPr>
          <w:rFonts w:hint="eastAsia" w:eastAsia="黑体;SimHei"/>
          <w:color w:val="000000"/>
        </w:rPr>
        <w:t xml:space="preserve">第十六条 </w:t>
      </w:r>
      <w:r>
        <w:rPr>
          <w:rFonts w:hint="eastAsia"/>
          <w:color w:val="000000"/>
        </w:rPr>
        <w:t xml:space="preserve"> 农药经营者不得加工、分装农药，不得在农药中添加任何物质，不得采购、销售包装和标签不符合规定，未附具产品质量检验合格证，未取得有关许可证明文件的农药。</w:t>
      </w:r>
    </w:p>
    <w:p>
      <w:pPr>
        <w:pStyle w:val="Normal"/>
        <w:rPr/>
      </w:pPr>
      <w:r>
        <w:rPr>
          <w:rFonts w:hint="eastAsia"/>
          <w:color w:val="000000"/>
        </w:rPr>
        <w:t xml:space="preserve">    </w:t>
      </w:r>
      <w:r>
        <w:rPr>
          <w:rFonts w:hint="eastAsia" w:eastAsia="黑体;SimHei"/>
          <w:color w:val="000000"/>
        </w:rPr>
        <w:t>第十七条</w:t>
      </w:r>
      <w:r>
        <w:rPr>
          <w:rFonts w:hint="eastAsia"/>
          <w:color w:val="000000"/>
        </w:rPr>
        <w:t xml:space="preserve">  农药使用者应当严格按照农药的标签标注的使用范围、使用方法和剂量、使用技术要求和注意事项使用农药，不得扩大使用范围、加大用药剂量或者改变使用方法。</w:t>
      </w:r>
    </w:p>
    <w:p>
      <w:pPr>
        <w:pStyle w:val="Normal"/>
        <w:rPr>
          <w:rFonts w:hint="eastAsia"/>
          <w:color w:val="000000"/>
        </w:rPr>
      </w:pPr>
      <w:r>
        <w:rPr>
          <w:rFonts w:hint="eastAsia"/>
          <w:color w:val="000000"/>
        </w:rPr>
        <w:t xml:space="preserve">    </w:t>
      </w:r>
      <w:r>
        <w:rPr>
          <w:rFonts w:hint="eastAsia"/>
          <w:color w:val="000000"/>
        </w:rPr>
        <w:t>村民会议、农民专业合作社等自治组织，为提升农产品品质，可以自主约定在特定作物上限制使用某些农药品种。</w:t>
      </w:r>
    </w:p>
    <w:p>
      <w:pPr>
        <w:pStyle w:val="Normal"/>
        <w:rPr/>
      </w:pPr>
      <w:r>
        <w:rPr>
          <w:rFonts w:hint="eastAsia"/>
          <w:color w:val="000000"/>
        </w:rPr>
        <w:t xml:space="preserve">    </w:t>
      </w:r>
      <w:r>
        <w:rPr>
          <w:rFonts w:hint="eastAsia" w:eastAsia="黑体;SimHei"/>
          <w:color w:val="000000"/>
        </w:rPr>
        <w:t>第十八条</w:t>
      </w:r>
      <w:r>
        <w:rPr>
          <w:rFonts w:hint="eastAsia"/>
          <w:color w:val="000000"/>
        </w:rPr>
        <w:t xml:space="preserve">  农药使用者应当保护环境，保护有益生物和珍稀物种，不得在饮用水水源保护区、河道、溪流、湖泊、水库（塘）内丢弃农药、农药包装物或者清洗施药器械。</w:t>
      </w:r>
    </w:p>
    <w:p>
      <w:pPr>
        <w:pStyle w:val="Normal"/>
        <w:rPr>
          <w:rFonts w:hint="eastAsia"/>
          <w:color w:val="000000"/>
        </w:rPr>
      </w:pPr>
      <w:r>
        <w:rPr>
          <w:rFonts w:hint="eastAsia"/>
          <w:color w:val="000000"/>
        </w:rPr>
        <w:t xml:space="preserve">    </w:t>
      </w:r>
      <w:r>
        <w:rPr>
          <w:rFonts w:hint="eastAsia"/>
          <w:color w:val="000000"/>
        </w:rPr>
        <w:t>严禁在饮用水水源保护区内使用农药，严禁使用农药毒鱼、虾、鸟、兽等。</w:t>
      </w:r>
    </w:p>
    <w:p>
      <w:pPr>
        <w:pStyle w:val="Normal"/>
        <w:rPr/>
      </w:pPr>
      <w:r>
        <w:rPr>
          <w:rFonts w:hint="eastAsia"/>
          <w:color w:val="000000"/>
        </w:rPr>
        <w:t xml:space="preserve">    </w:t>
      </w:r>
      <w:r>
        <w:rPr>
          <w:rFonts w:hint="eastAsia" w:eastAsia="黑体;SimHei"/>
          <w:color w:val="000000"/>
        </w:rPr>
        <w:t>第十九条</w:t>
      </w:r>
      <w:r>
        <w:rPr>
          <w:rFonts w:hint="eastAsia"/>
          <w:color w:val="000000"/>
        </w:rPr>
        <w:t xml:space="preserve">  农药使用者应当妥善收集农药包装物等废弃物；农药经营者应当回收农药废弃物，防止农药污染环境和农药中毒事故的发生。</w:t>
      </w:r>
    </w:p>
    <w:p>
      <w:pPr>
        <w:pStyle w:val="Normal"/>
        <w:rPr>
          <w:rFonts w:hint="eastAsia"/>
          <w:color w:val="000000"/>
        </w:rPr>
      </w:pPr>
      <w:r>
        <w:rPr>
          <w:rFonts w:hint="eastAsia"/>
          <w:color w:val="000000"/>
        </w:rPr>
        <w:t xml:space="preserve"> </w:t>
      </w:r>
      <w:r>
        <w:rPr>
          <w:rFonts w:eastAsia="黑体;SimHei" w:hint="eastAsia"/>
          <w:color w:val="000000"/>
        </w:rPr>
        <w:t xml:space="preserve">   </w:t>
      </w:r>
      <w:r>
        <w:rPr>
          <w:rFonts w:hint="eastAsia" w:eastAsia="黑体;SimHei"/>
          <w:color w:val="000000"/>
        </w:rPr>
        <w:t>第二十条</w:t>
      </w:r>
      <w:r>
        <w:rPr>
          <w:rFonts w:hint="eastAsia"/>
          <w:color w:val="000000"/>
        </w:rPr>
        <w:t xml:space="preserve">  市、县（区）人民政府应当根据有关法律、法规</w:t>
      </w:r>
      <w:r>
        <w:rPr>
          <w:rFonts w:hint="eastAsia"/>
          <w:color w:val="000000"/>
          <w:spacing w:val="-6"/>
        </w:rPr>
        <w:t>的规定和本行政区域的实际情况，制定本地农药安全事故应急预案。</w:t>
      </w:r>
    </w:p>
    <w:p>
      <w:pPr>
        <w:pStyle w:val="Normal"/>
        <w:rPr>
          <w:rFonts w:hint="eastAsia"/>
          <w:color w:val="000000"/>
        </w:rPr>
      </w:pPr>
      <w:r>
        <w:rPr>
          <w:rFonts w:hint="eastAsia"/>
          <w:color w:val="000000"/>
        </w:rPr>
        <w:t xml:space="preserve">    </w:t>
      </w:r>
      <w:r>
        <w:rPr>
          <w:rFonts w:hint="eastAsia"/>
          <w:color w:val="000000"/>
        </w:rPr>
        <w:t>农药经营者应当制定农药安全事故处置方案。定期检查农药安全防范措施的落实情况，及时消除安全隐患。</w:t>
      </w:r>
    </w:p>
    <w:p>
      <w:pPr>
        <w:pStyle w:val="Normal"/>
        <w:rPr/>
      </w:pPr>
      <w:r>
        <w:rPr>
          <w:rFonts w:hint="eastAsia"/>
          <w:color w:val="000000"/>
        </w:rPr>
        <w:t xml:space="preserve">    </w:t>
      </w:r>
      <w:r>
        <w:rPr>
          <w:rFonts w:hint="eastAsia" w:eastAsia="黑体;SimHei"/>
          <w:color w:val="000000"/>
        </w:rPr>
        <w:t xml:space="preserve">第二十一条 </w:t>
      </w:r>
      <w:r>
        <w:rPr>
          <w:rFonts w:hint="eastAsia"/>
          <w:color w:val="000000"/>
        </w:rPr>
        <w:t xml:space="preserve"> 农药经营者、农药使用者发现销售、使用的农药对农业、林业、人畜安全、农产品质量安全、生态环境等有严重危害或者较大风险的，应当立即停止销售、使用，并报告当地人民政府及有关部门。</w:t>
      </w:r>
    </w:p>
    <w:p>
      <w:pPr>
        <w:pStyle w:val="Normal"/>
        <w:rPr>
          <w:rFonts w:hint="eastAsia"/>
          <w:color w:val="000000"/>
        </w:rPr>
      </w:pPr>
      <w:r>
        <w:rPr>
          <w:rFonts w:hint="eastAsia"/>
          <w:color w:val="000000"/>
        </w:rPr>
        <w:t xml:space="preserve">    </w:t>
      </w:r>
      <w:r>
        <w:rPr>
          <w:rFonts w:hint="eastAsia"/>
          <w:color w:val="000000"/>
        </w:rPr>
        <w:t>发生农药集体中毒、环境污染、药害事故，农药经营者、农药使用者应当立即报告当地人民政府及有关部门，按照农药安全事故应急预案及时组织实施救援，采取有效措施减少事故损失，防止事故蔓延、扩大。市、县（区）人民政府应当按照农药安全事故应急预案组织有关职能部门迅速处置。</w:t>
      </w:r>
    </w:p>
    <w:p>
      <w:pPr>
        <w:pStyle w:val="Normal"/>
        <w:rPr>
          <w:rFonts w:hint="eastAsia"/>
          <w:color w:val="000000"/>
        </w:rPr>
      </w:pPr>
      <w:r>
        <w:rPr>
          <w:rFonts w:eastAsia="黑体;SimHei" w:hint="eastAsia"/>
          <w:color w:val="000000"/>
        </w:rPr>
        <w:t xml:space="preserve">    </w:t>
      </w:r>
      <w:r>
        <w:rPr>
          <w:rFonts w:hint="eastAsia" w:eastAsia="黑体;SimHei"/>
          <w:color w:val="000000"/>
        </w:rPr>
        <w:t>第二十二条</w:t>
      </w:r>
      <w:r>
        <w:rPr>
          <w:rFonts w:hint="eastAsia"/>
          <w:color w:val="000000"/>
        </w:rPr>
        <w:t xml:space="preserve">  违反本条例第十五条规定的，由市、县（区）人民政府农业行政主管部门责令改正；拒不改正或者情节严重的，</w:t>
      </w:r>
      <w:r>
        <w:rPr>
          <w:rFonts w:hint="eastAsia"/>
          <w:color w:val="000000"/>
          <w:spacing w:val="-6"/>
        </w:rPr>
        <w:t>处二千元以上二万元以下罚款，并由发证机关吊销农药经营许可证。</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第二十三条</w:t>
      </w:r>
      <w:r>
        <w:rPr>
          <w:rFonts w:hint="eastAsia"/>
          <w:color w:val="000000"/>
        </w:rPr>
        <w:t xml:space="preserve">  违反本条例第十六条规定，农药经营者在农药中添加物质的，由市、县（区）人民政府农业行政主管部门责令停止经营，没收违法所得、违法经营的农药和用于违法经营的工具、设备等，违法经营的农药货值金额不足一万元的，并处五千元以上五万元以下罚款，货值金额一万元以上的，并处货值金额五倍以上十倍以下罚款。情节严重的，还应当由发证机关吊销农药经营许可证。</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 xml:space="preserve">第二十四条 </w:t>
      </w:r>
      <w:r>
        <w:rPr>
          <w:rFonts w:hint="eastAsia"/>
          <w:color w:val="000000"/>
        </w:rPr>
        <w:t xml:space="preserve"> 违反本条例第十七条第一款规定，不按照农药的标签标注的使用范围、使用方法和剂量、使用技术要求和注意事项、安全间隔期使用农药的，由县（区）人民政府农业行政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第二十五条</w:t>
      </w:r>
      <w:r>
        <w:rPr>
          <w:rFonts w:hint="eastAsia"/>
          <w:color w:val="000000"/>
        </w:rPr>
        <w:t xml:space="preserve">  违反本条例第十八条规定的，由县（区）人民政府农业行政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pStyle w:val="Normal"/>
        <w:rPr/>
      </w:pPr>
      <w:r>
        <w:rPr>
          <w:rFonts w:hint="eastAsia"/>
          <w:color w:val="000000"/>
        </w:rPr>
        <w:t xml:space="preserve"> </w:t>
      </w:r>
      <w:r>
        <w:rPr>
          <w:rFonts w:eastAsia="黑体;SimHei" w:hint="eastAsia"/>
          <w:color w:val="000000"/>
        </w:rPr>
        <w:t xml:space="preserve">   </w:t>
      </w:r>
      <w:r>
        <w:rPr>
          <w:rFonts w:hint="eastAsia" w:eastAsia="黑体;SimHei"/>
          <w:color w:val="000000"/>
        </w:rPr>
        <w:t>第二十六条</w:t>
      </w:r>
      <w:r>
        <w:rPr>
          <w:rFonts w:hint="eastAsia"/>
          <w:color w:val="000000"/>
        </w:rPr>
        <w:t xml:space="preserve">  违反本条例第十九条规定，农药经营者不履行农药废弃物回收义务的，由市、县（区）人民政府农业行政主管部门责令改正，拒不改正或者情节严重的，处二千元以上二万元以下罚款，并由发证机关吊销农药经营许可证。 </w:t>
      </w:r>
    </w:p>
    <w:p>
      <w:pPr>
        <w:pStyle w:val="Normal"/>
        <w:rPr/>
      </w:pPr>
      <w:r>
        <w:rPr>
          <w:rFonts w:hint="eastAsia"/>
          <w:color w:val="000000"/>
        </w:rPr>
        <w:t xml:space="preserve">    </w:t>
      </w:r>
      <w:r>
        <w:rPr>
          <w:rFonts w:hint="eastAsia" w:eastAsia="黑体;SimHei"/>
          <w:color w:val="000000"/>
        </w:rPr>
        <w:t xml:space="preserve">第二十七条 </w:t>
      </w:r>
      <w:r>
        <w:rPr>
          <w:rFonts w:hint="eastAsia"/>
          <w:color w:val="000000"/>
        </w:rPr>
        <w:t xml:space="preserve"> 市、县（区）人民政府农业行政主管部门及其工作人员有下列行为之一的，由本级人民政府责令改正；对负有责任的领导人员和直接责任人员，依法给予处分：</w:t>
      </w:r>
    </w:p>
    <w:p>
      <w:pPr>
        <w:pStyle w:val="Normal"/>
        <w:rPr>
          <w:rFonts w:hint="eastAsia"/>
          <w:color w:val="000000"/>
        </w:rPr>
      </w:pPr>
      <w:r>
        <w:rPr>
          <w:rFonts w:hint="eastAsia"/>
          <w:color w:val="000000"/>
        </w:rPr>
        <w:t xml:space="preserve">    </w:t>
      </w:r>
      <w:r>
        <w:rPr>
          <w:rFonts w:hint="eastAsia"/>
          <w:color w:val="000000"/>
        </w:rPr>
        <w:t>（一）不履行监督管理职责，所辖行政区域的违法农药经营活动造成重大损失或者恶劣社会影响；</w:t>
      </w:r>
    </w:p>
    <w:p>
      <w:pPr>
        <w:pStyle w:val="Normal"/>
        <w:rPr>
          <w:rFonts w:hint="eastAsia"/>
          <w:color w:val="000000"/>
        </w:rPr>
      </w:pPr>
      <w:r>
        <w:rPr>
          <w:rFonts w:hint="eastAsia"/>
          <w:color w:val="000000"/>
        </w:rPr>
        <w:t xml:space="preserve">    </w:t>
      </w:r>
      <w:r>
        <w:rPr>
          <w:rFonts w:hint="eastAsia"/>
          <w:color w:val="000000"/>
        </w:rPr>
        <w:t>（二）对不符合条件的申请人准予许可或者对符合条件的申请人拒不准予许可；</w:t>
      </w:r>
    </w:p>
    <w:p>
      <w:pPr>
        <w:pStyle w:val="Normal"/>
        <w:rPr>
          <w:rFonts w:hint="eastAsia"/>
          <w:color w:val="000000"/>
        </w:rPr>
      </w:pPr>
      <w:r>
        <w:rPr>
          <w:rFonts w:hint="eastAsia"/>
          <w:color w:val="000000"/>
        </w:rPr>
        <w:t xml:space="preserve">    </w:t>
      </w:r>
      <w:r>
        <w:rPr>
          <w:rFonts w:hint="eastAsia"/>
          <w:color w:val="000000"/>
        </w:rPr>
        <w:t>（三）参与农药经营活动；</w:t>
      </w:r>
    </w:p>
    <w:p>
      <w:pPr>
        <w:pStyle w:val="Normal"/>
        <w:rPr>
          <w:rFonts w:hint="eastAsia"/>
          <w:color w:val="000000"/>
        </w:rPr>
      </w:pPr>
      <w:r>
        <w:rPr>
          <w:rFonts w:hint="eastAsia"/>
          <w:color w:val="000000"/>
        </w:rPr>
        <w:t xml:space="preserve">    </w:t>
      </w:r>
      <w:r>
        <w:rPr>
          <w:rFonts w:hint="eastAsia"/>
          <w:color w:val="000000"/>
        </w:rPr>
        <w:t>（四）有其他徇私舞弊、滥用职权、玩忽职守行为。</w:t>
      </w:r>
    </w:p>
    <w:p>
      <w:pPr>
        <w:pStyle w:val="Normal"/>
        <w:rPr/>
      </w:pPr>
      <w:r>
        <w:rPr>
          <w:rFonts w:eastAsia="黑体;SimHei" w:hint="eastAsia"/>
          <w:color w:val="000000"/>
        </w:rPr>
        <w:t xml:space="preserve">    </w:t>
      </w:r>
      <w:r>
        <w:rPr>
          <w:rFonts w:hint="eastAsia" w:eastAsia="黑体;SimHei"/>
          <w:color w:val="000000"/>
        </w:rPr>
        <w:t>第二十八条</w:t>
      </w:r>
      <w:r>
        <w:rPr>
          <w:rFonts w:hint="eastAsia"/>
          <w:color w:val="000000"/>
        </w:rPr>
        <w:t xml:space="preserve">  违反本条例规定的行为，法律、法规已有行政处罚规定的，依照其规定处罚；构成犯罪的，依法追究刑事责任。</w:t>
      </w:r>
    </w:p>
    <w:p>
      <w:pPr>
        <w:pStyle w:val="Normal"/>
        <w:rPr/>
      </w:pPr>
      <w:r>
        <w:rPr>
          <w:rFonts w:eastAsia="黑体;SimHei" w:hint="eastAsia"/>
          <w:color w:val="000000"/>
        </w:rPr>
        <w:t xml:space="preserve">    </w:t>
      </w:r>
      <w:r>
        <w:rPr>
          <w:rFonts w:hint="eastAsia" w:eastAsia="黑体;SimHei"/>
          <w:color w:val="000000"/>
        </w:rPr>
        <w:t xml:space="preserve">第二十九条 </w:t>
      </w:r>
      <w:r>
        <w:rPr>
          <w:rFonts w:hint="eastAsia"/>
          <w:color w:val="000000"/>
        </w:rPr>
        <w:t xml:space="preserve"> 本条例自</w:t>
      </w:r>
      <w:r>
        <w:rPr>
          <w:rFonts w:hint="eastAsia"/>
          <w:color w:val="000000"/>
        </w:rPr>
        <w:t>2019</w:t>
      </w:r>
      <w:r>
        <w:rPr>
          <w:rFonts w:hint="eastAsia"/>
          <w:color w:val="000000"/>
        </w:rPr>
        <w:t>年</w:t>
      </w:r>
      <w:r>
        <w:rPr>
          <w:rFonts w:hint="eastAsia"/>
          <w:color w:val="000000"/>
        </w:rPr>
        <w:t>7</w:t>
      </w:r>
      <w:r>
        <w:rPr>
          <w:rFonts w:hint="eastAsia"/>
          <w:color w:val="000000"/>
        </w:rPr>
        <w:t>月</w:t>
      </w:r>
      <w:r>
        <w:rPr>
          <w:rFonts w:hint="eastAsia"/>
          <w:color w:val="000000"/>
        </w:rPr>
        <w:t>1</w:t>
      </w:r>
      <w:r>
        <w:rPr>
          <w:rFonts w:hint="eastAsia"/>
          <w:color w:val="000000"/>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Char">
    <w:name w:val=" Char Char"/>
    <w:qFormat/>
    <w:rPr>
      <w:rFonts w:eastAsia="仿宋_GB2312"/>
      <w:kern w:val="2"/>
      <w:sz w:val="18"/>
      <w:szCs w:val="18"/>
      <w:lang w:bidi="ar-SA"/>
    </w:rPr>
  </w:style>
  <w:style w:type="character" w:styleId="font21">
    <w:name w:val="font21"/>
    <w:qFormat/>
    <w:rPr>
      <w:rFonts w:ascii="Times New Roman" w:hAnsi="Times New Roman" w:cs="Times New Roman"/>
      <w:color w:val="000000"/>
      <w:sz w:val="24"/>
      <w:szCs w:val="24"/>
      <w:u w:val="none"/>
    </w:rPr>
  </w:style>
  <w:style w:type="character" w:styleId="font01">
    <w:name w:val="font01"/>
    <w:qFormat/>
    <w:rPr>
      <w:rFonts w:ascii="仿宋_GB2312" w:hAnsi="仿宋_GB2312" w:eastAsia="仿宋_GB2312" w:cs="仿宋_GB2312"/>
      <w:color w:val="000000"/>
      <w:sz w:val="24"/>
      <w:szCs w:val="24"/>
      <w:u w:val="none"/>
    </w:rPr>
  </w:style>
  <w:style w:type="character" w:styleId="Strong">
    <w:name w:val="Strong"/>
    <w:qFormat/>
    <w:rPr>
      <w:rFonts w:cs="Times New Roman"/>
      <w:b/>
      <w:bCs/>
    </w:rPr>
  </w:style>
  <w:style w:type="character" w:styleId="apple-converted-space">
    <w:name w:val="apple-converted-space"/>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Char2">
    <w:name w:val="Char"/>
    <w:basedOn w:val="Normal"/>
    <w:qFormat/>
    <w:pPr>
      <w:tabs>
        <w:tab w:val="clear" w:pos="420"/>
        <w:tab w:val="left" w:pos="360" w:leader="none"/>
      </w:tabs>
      <w:ind w:hangingChars="200" w:startChars="0" w:start="0" w:endChars="0" w:end="0"/>
    </w:pPr>
    <w:rPr>
      <w:rFonts w:eastAsia="宋体;SimSun"/>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2019-04-01T16:35:00Z</dcterms:created>
  <dc:creator>ch</dc:creator>
  <dc:description/>
  <cp:keywords/>
  <dc:language>en-US</dc:language>
  <cp:lastModifiedBy>段铭</cp:lastModifiedBy>
  <cp:lastPrinted>2019-04-01T16:47:00Z</cp:lastPrinted>
  <dcterms:modified xsi:type="dcterms:W3CDTF">2019-04-01T16:47:00Z</dcterms:modified>
  <cp:revision>3</cp:revision>
  <dc:subject/>
  <dc:title>板心</dc:title>
</cp:coreProperties>
</file>