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80"/>
        <w:jc w:val="center"/>
        <w:rPr>
          <w:rFonts w:eastAsia="宋体"/>
          <w:b/>
          <w:bCs/>
          <w:sz w:val="44"/>
        </w:rPr>
      </w:pPr>
      <w:r>
        <w:rPr>
          <w:rFonts w:cs="宋体" w:hint="eastAsia" w:eastAsia="宋体"/>
          <w:b/>
          <w:bCs/>
          <w:sz w:val="44"/>
        </w:rPr>
        <w:t>安徽省人民代表大会常务委员会</w:t>
      </w:r>
    </w:p>
    <w:p>
      <w:pPr>
        <w:pStyle w:val="Normal"/>
        <w:spacing w:lineRule="exact" w:line="680"/>
        <w:jc w:val="center"/>
        <w:rPr>
          <w:rFonts w:eastAsia="宋体"/>
          <w:b/>
          <w:bCs/>
          <w:sz w:val="44"/>
        </w:rPr>
      </w:pPr>
      <w:r>
        <w:rPr>
          <w:rFonts w:cs="宋体" w:hint="eastAsia" w:eastAsia="宋体"/>
          <w:b/>
          <w:bCs/>
          <w:sz w:val="44"/>
        </w:rPr>
        <w:t>公</w:t>
      </w:r>
      <w:r>
        <w:rPr>
          <w:rFonts w:eastAsia="宋体"/>
          <w:b/>
          <w:bCs/>
          <w:sz w:val="44"/>
        </w:rPr>
        <w:t xml:space="preserve">       </w:t>
      </w:r>
      <w:r>
        <w:rPr>
          <w:rFonts w:cs="宋体" w:hint="eastAsia" w:eastAsia="宋体"/>
          <w:b/>
          <w:bCs/>
          <w:sz w:val="44"/>
        </w:rPr>
        <w:t>告</w:t>
      </w:r>
    </w:p>
    <w:p>
      <w:pPr>
        <w:pStyle w:val="Normal"/>
        <w:jc w:val="center"/>
        <w:rPr>
          <w:rFonts w:eastAsia="宋体"/>
          <w:b/>
          <w:bCs/>
          <w:sz w:val="30"/>
        </w:rPr>
      </w:pPr>
      <w:r>
        <w:rPr>
          <w:rFonts w:eastAsia="宋体"/>
          <w:b/>
          <w:bCs/>
          <w:sz w:val="30"/>
        </w:rPr>
      </w:r>
    </w:p>
    <w:p>
      <w:pPr>
        <w:pStyle w:val="Normal"/>
        <w:jc w:val="center"/>
        <w:rPr>
          <w:rFonts w:eastAsia="楷体_GB2312"/>
        </w:rPr>
      </w:pPr>
      <w:r>
        <w:rPr>
          <w:rFonts w:eastAsia="楷体_GB2312"/>
        </w:rPr>
        <w:t>（第</w:t>
      </w:r>
      <w:r>
        <w:rPr>
          <w:rFonts w:hint="eastAsia" w:eastAsia="楷体_GB2312"/>
        </w:rPr>
        <w:t>七</w:t>
      </w:r>
      <w:r>
        <w:rPr>
          <w:rFonts w:eastAsia="楷体_GB2312"/>
        </w:rPr>
        <w:t>号）</w:t>
      </w:r>
    </w:p>
    <w:p>
      <w:pPr>
        <w:pStyle w:val="Normal"/>
        <w:rPr>
          <w:rFonts w:eastAsia="楷体_GB2312" w:cs="仿宋_GB2312"/>
        </w:rPr>
      </w:pPr>
      <w:r>
        <w:rPr>
          <w:rFonts w:eastAsia="楷体_GB2312" w:cs="仿宋_GB2312"/>
        </w:rPr>
      </w:r>
    </w:p>
    <w:p>
      <w:pPr>
        <w:pStyle w:val="Normal"/>
        <w:rPr>
          <w:rFonts w:cs="仿宋_GB2312"/>
        </w:rPr>
      </w:pPr>
      <w:r>
        <w:rPr>
          <w:rFonts w:cs="仿宋_GB2312"/>
        </w:rPr>
        <w:t xml:space="preserve">    </w:t>
      </w:r>
      <w:r>
        <w:rPr>
          <w:rFonts w:cs="仿宋_GB2312" w:hint="eastAsia"/>
        </w:rPr>
        <w:t>《安徽省多元化解纠纷促进条例》已经</w:t>
      </w:r>
      <w:r>
        <w:rPr>
          <w:rFonts w:cs="仿宋_GB2312"/>
        </w:rPr>
        <w:t>2018</w:t>
      </w:r>
      <w:r>
        <w:rPr>
          <w:rFonts w:cs="仿宋_GB2312" w:hint="eastAsia"/>
        </w:rPr>
        <w:t>年</w:t>
      </w:r>
      <w:r>
        <w:rPr>
          <w:rFonts w:cs="仿宋_GB2312"/>
        </w:rPr>
        <w:t>11</w:t>
      </w:r>
      <w:r>
        <w:rPr>
          <w:rFonts w:cs="仿宋_GB2312" w:hint="eastAsia"/>
        </w:rPr>
        <w:t>月</w:t>
      </w:r>
      <w:r>
        <w:rPr>
          <w:rFonts w:cs="仿宋_GB2312"/>
        </w:rPr>
        <w:t>23</w:t>
      </w:r>
      <w:r>
        <w:rPr>
          <w:rFonts w:cs="仿宋_GB2312" w:hint="eastAsia"/>
        </w:rPr>
        <w:t>日安徽省第十三届人民代表大会常务委员会第六次会议通过，现予公布，自</w:t>
      </w:r>
      <w:r>
        <w:rPr>
          <w:rFonts w:cs="仿宋_GB2312"/>
        </w:rPr>
        <w:t>2019</w:t>
      </w:r>
      <w:r>
        <w:rPr>
          <w:rFonts w:cs="仿宋_GB2312" w:hint="eastAsia"/>
        </w:rPr>
        <w:t>年</w:t>
      </w:r>
      <w:r>
        <w:rPr>
          <w:rFonts w:cs="仿宋_GB2312"/>
        </w:rPr>
        <w:t>1</w:t>
      </w:r>
      <w:r>
        <w:rPr>
          <w:rFonts w:cs="仿宋_GB2312" w:hint="eastAsia"/>
        </w:rPr>
        <w:t>月</w:t>
      </w:r>
      <w:r>
        <w:rPr>
          <w:rFonts w:cs="仿宋_GB2312"/>
        </w:rPr>
        <w:t>1</w:t>
      </w:r>
      <w:r>
        <w:rPr>
          <w:rFonts w:cs="仿宋_GB2312" w:hint="eastAsia"/>
        </w:rPr>
        <w:t>日起施行。</w:t>
      </w:r>
    </w:p>
    <w:p>
      <w:pPr>
        <w:pStyle w:val="Normal"/>
        <w:rPr>
          <w:rFonts w:cs="仿宋_GB2312"/>
        </w:rPr>
      </w:pPr>
      <w:r>
        <w:rPr>
          <w:rFonts w:cs="仿宋_GB2312"/>
        </w:rPr>
      </w:r>
    </w:p>
    <w:p>
      <w:pPr>
        <w:pStyle w:val="Normal"/>
        <w:rPr>
          <w:rFonts w:cs="仿宋_GB2312"/>
        </w:rPr>
      </w:pPr>
      <w:r>
        <w:rPr>
          <w:rFonts w:cs="仿宋_GB2312"/>
        </w:rPr>
      </w:r>
    </w:p>
    <w:p>
      <w:pPr>
        <w:pStyle w:val="Normal"/>
        <w:rPr>
          <w:rFonts w:cs="仿宋_GB2312"/>
        </w:rPr>
      </w:pPr>
      <w:r>
        <w:rPr>
          <w:rFonts w:cs="仿宋_GB2312"/>
        </w:rPr>
        <w:t xml:space="preserve">                     </w:t>
      </w:r>
      <w:r>
        <w:rPr>
          <w:rFonts w:cs="仿宋_GB2312" w:hint="eastAsia"/>
        </w:rPr>
        <w:t>安徽省人民代表大会常务委员会</w:t>
      </w:r>
    </w:p>
    <w:p>
      <w:pPr>
        <w:pStyle w:val="Normal"/>
        <w:rPr>
          <w:rFonts w:cs="仿宋_GB2312"/>
        </w:rPr>
      </w:pPr>
      <w:r>
        <w:rPr>
          <w:rFonts w:cs="仿宋_GB2312"/>
        </w:rPr>
        <w:t xml:space="preserve">                           </w:t>
      </w:r>
      <w:r>
        <w:rPr>
          <w:rFonts w:cs="仿宋_GB2312"/>
        </w:rPr>
        <w:t>2018</w:t>
      </w:r>
      <w:r>
        <w:rPr>
          <w:rFonts w:cs="仿宋_GB2312" w:hint="eastAsia"/>
        </w:rPr>
        <w:t>年</w:t>
      </w:r>
      <w:r>
        <w:rPr>
          <w:rFonts w:cs="仿宋_GB2312"/>
        </w:rPr>
        <w:t>11</w:t>
      </w:r>
      <w:r>
        <w:rPr>
          <w:rFonts w:cs="仿宋_GB2312" w:hint="eastAsia"/>
        </w:rPr>
        <w:t>月</w:t>
      </w:r>
      <w:r>
        <w:rPr>
          <w:rFonts w:cs="仿宋_GB2312"/>
        </w:rPr>
        <w:t>26</w:t>
      </w:r>
      <w:r>
        <w:rPr>
          <w:rFonts w:cs="仿宋_GB2312" w:hint="eastAsia"/>
        </w:rPr>
        <w:t>日</w:t>
      </w:r>
    </w:p>
    <w:p>
      <w:pPr>
        <w:pStyle w:val="Normal"/>
        <w:rPr>
          <w:rFonts w:cs="仿宋_GB2312"/>
        </w:rPr>
      </w:pPr>
      <w:r>
        <w:rPr>
          <w:rFonts w:cs="仿宋_GB2312"/>
        </w:rPr>
      </w:r>
    </w:p>
    <w:p>
      <w:pPr>
        <w:pStyle w:val="Normal"/>
        <w:rPr>
          <w:rFonts w:cs="仿宋_GB2312"/>
        </w:rPr>
      </w:pPr>
      <w:r>
        <w:rPr>
          <w:rFonts w:cs="仿宋_GB2312"/>
        </w:rPr>
      </w:r>
      <w:r>
        <w:br w:type="page"/>
      </w:r>
    </w:p>
    <w:p>
      <w:pPr>
        <w:pStyle w:val="Normal"/>
        <w:snapToGrid w:val="false"/>
        <w:spacing w:lineRule="exact" w:line="560"/>
        <w:jc w:val="center"/>
        <w:rPr>
          <w:rFonts w:eastAsia="黑体" w:cs="仿宋_GB2312" w:hint="eastAsia"/>
          <w:bCs/>
          <w:sz w:val="28"/>
          <w:szCs w:val="28"/>
        </w:rPr>
      </w:pPr>
      <w:r>
        <w:rPr>
          <w:rFonts w:eastAsia="黑体" w:cs="仿宋_GB2312" w:hint="eastAsia"/>
          <w:bCs/>
          <w:sz w:val="28"/>
          <w:szCs w:val="28"/>
        </w:rPr>
      </w:r>
    </w:p>
    <w:p>
      <w:pPr>
        <w:pStyle w:val="Normal"/>
        <w:snapToGrid w:val="false"/>
        <w:spacing w:lineRule="exact" w:line="560"/>
        <w:jc w:val="center"/>
        <w:rPr>
          <w:rFonts w:eastAsia="宋体" w:cs="宋体" w:hint="eastAsia"/>
          <w:b/>
          <w:bCs/>
          <w:sz w:val="44"/>
        </w:rPr>
      </w:pPr>
      <w:r>
        <w:rPr>
          <w:rFonts w:cs="宋体" w:hint="eastAsia" w:eastAsia="宋体"/>
          <w:b/>
          <w:bCs/>
          <w:sz w:val="44"/>
        </w:rPr>
        <w:t>安徽省多元化解纠纷促进条例</w:t>
      </w:r>
    </w:p>
    <w:p>
      <w:pPr>
        <w:pStyle w:val="Normal"/>
        <w:spacing w:lineRule="exact" w:line="560"/>
        <w:jc w:val="center"/>
        <w:rPr>
          <w:rFonts w:eastAsia="楷体_GB2312" w:cs="宋体" w:hint="eastAsia"/>
          <w:b/>
          <w:bCs/>
          <w:sz w:val="44"/>
        </w:rPr>
      </w:pPr>
      <w:r>
        <w:rPr>
          <w:rFonts w:eastAsia="楷体_GB2312" w:cs="宋体" w:hint="eastAsia"/>
          <w:b/>
          <w:bCs/>
          <w:sz w:val="44"/>
        </w:rPr>
      </w:r>
    </w:p>
    <w:p>
      <w:pPr>
        <w:pStyle w:val="Normal"/>
        <w:spacing w:lineRule="exact" w:line="560"/>
        <w:jc w:val="center"/>
        <w:rPr>
          <w:rFonts w:eastAsia="楷体_GB2312" w:hint="eastAsia"/>
        </w:rPr>
      </w:pPr>
      <w:r>
        <w:rPr>
          <w:rFonts w:hint="eastAsia" w:eastAsia="楷体_GB2312"/>
        </w:rPr>
        <w:t>（</w:t>
      </w:r>
      <w:r>
        <w:rPr>
          <w:rFonts w:eastAsia="楷体_GB2312" w:hint="eastAsia"/>
        </w:rPr>
        <w:t>2018</w:t>
      </w:r>
      <w:r>
        <w:rPr>
          <w:rFonts w:hint="eastAsia" w:eastAsia="楷体_GB2312"/>
        </w:rPr>
        <w:t>年</w:t>
      </w:r>
      <w:r>
        <w:rPr>
          <w:rFonts w:eastAsia="楷体_GB2312" w:hint="eastAsia"/>
        </w:rPr>
        <w:t>11</w:t>
      </w:r>
      <w:r>
        <w:rPr>
          <w:rFonts w:hint="eastAsia" w:eastAsia="楷体_GB2312"/>
        </w:rPr>
        <w:t>月</w:t>
      </w:r>
      <w:r>
        <w:rPr>
          <w:rFonts w:eastAsia="楷体_GB2312" w:hint="eastAsia"/>
        </w:rPr>
        <w:t>23</w:t>
      </w:r>
      <w:r>
        <w:rPr>
          <w:rFonts w:hint="eastAsia" w:eastAsia="楷体_GB2312"/>
        </w:rPr>
        <w:t>日安徽省第十三届人民代表大会</w:t>
      </w:r>
    </w:p>
    <w:p>
      <w:pPr>
        <w:pStyle w:val="Normal"/>
        <w:spacing w:lineRule="exact" w:line="560"/>
        <w:jc w:val="center"/>
        <w:rPr>
          <w:rFonts w:eastAsia="楷体_GB2312" w:hint="eastAsia"/>
        </w:rPr>
      </w:pPr>
      <w:r>
        <w:rPr>
          <w:rFonts w:hint="eastAsia" w:eastAsia="楷体_GB2312"/>
        </w:rPr>
        <w:t>常务委员会第六次会议通过）</w:t>
      </w:r>
    </w:p>
    <w:p>
      <w:pPr>
        <w:pStyle w:val="Normal"/>
        <w:snapToGrid w:val="false"/>
        <w:spacing w:lineRule="exact" w:line="560"/>
        <w:rPr>
          <w:rFonts w:eastAsia="楷体_GB2312" w:hint="eastAsia"/>
        </w:rPr>
      </w:pPr>
      <w:r>
        <w:rPr>
          <w:rFonts w:eastAsia="楷体_GB2312" w:hint="eastAsia"/>
        </w:rPr>
      </w:r>
    </w:p>
    <w:p>
      <w:pPr>
        <w:pStyle w:val="Normal"/>
        <w:spacing w:lineRule="exact" w:line="560"/>
        <w:jc w:val="center"/>
        <w:rPr>
          <w:rFonts w:eastAsia="楷体_GB2312" w:hint="eastAsia"/>
        </w:rPr>
      </w:pPr>
      <w:r>
        <w:rPr>
          <w:rFonts w:hint="eastAsia" w:eastAsia="楷体_GB2312"/>
        </w:rPr>
        <w:t>目    录</w:t>
      </w:r>
    </w:p>
    <w:p>
      <w:pPr>
        <w:pStyle w:val="Normal"/>
        <w:shd w:fill="FFFFFF" w:val="clear"/>
        <w:spacing w:lineRule="exact" w:line="560"/>
        <w:ind w:firstLine="632" w:end="0"/>
        <w:jc w:val="start"/>
        <w:rPr>
          <w:rFonts w:eastAsia="仿宋" w:cs="仿宋" w:hint="eastAsia"/>
          <w:shd w:fill="FFFFFF" w:val="clear"/>
          <w:lang w:bidi="ar"/>
        </w:rPr>
      </w:pPr>
      <w:r>
        <w:rPr>
          <w:rFonts w:eastAsia="仿宋" w:cs="仿宋" w:hint="eastAsia"/>
          <w:shd w:fill="FFFFFF" w:val="clear"/>
          <w:lang w:bidi="ar"/>
        </w:rPr>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第一章  总    则</w:t>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第二章  化解主体</w:t>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第三章  化解途径</w:t>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第四章  保障措施</w:t>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第五章  监督管理</w:t>
      </w:r>
    </w:p>
    <w:p>
      <w:pPr>
        <w:pStyle w:val="Normal"/>
        <w:spacing w:lineRule="exact" w:line="560"/>
        <w:ind w:firstLineChars="200" w:startChars="0" w:start="0" w:endChars="0" w:end="0"/>
        <w:rPr>
          <w:rFonts w:eastAsia="楷体_GB2312" w:cs="楷体_GB2312" w:hint="eastAsia"/>
        </w:rPr>
      </w:pPr>
      <w:r>
        <w:rPr>
          <w:rFonts w:cs="楷体_GB2312" w:hint="eastAsia" w:eastAsia="楷体_GB2312"/>
        </w:rPr>
        <w:t>第六章  附    则</w:t>
      </w:r>
    </w:p>
    <w:p>
      <w:pPr>
        <w:pStyle w:val="Normal"/>
        <w:spacing w:lineRule="exact" w:line="560"/>
        <w:rPr>
          <w:rFonts w:eastAsia="楷体_GB2312" w:cs="楷体_GB2312" w:hint="eastAsia"/>
        </w:rPr>
      </w:pPr>
      <w:r>
        <w:rPr>
          <w:rFonts w:eastAsia="楷体_GB2312" w:cs="楷体_GB2312" w:hint="eastAsia"/>
        </w:rPr>
      </w:r>
    </w:p>
    <w:p>
      <w:pPr>
        <w:pStyle w:val="Normal"/>
        <w:spacing w:lineRule="exact" w:line="560"/>
        <w:jc w:val="center"/>
        <w:rPr>
          <w:rFonts w:eastAsia="黑体" w:hint="eastAsia"/>
        </w:rPr>
      </w:pPr>
      <w:r>
        <w:rPr>
          <w:rFonts w:hint="eastAsia" w:eastAsia="黑体"/>
        </w:rPr>
        <w:t>第一章  总    则</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ind w:firstLineChars="200" w:startChars="0" w:start="0" w:endChars="0" w:end="0"/>
        <w:rPr>
          <w:rFonts w:hint="eastAsia"/>
          <w:color w:val="0000FF"/>
        </w:rPr>
      </w:pPr>
      <w:r>
        <w:rPr>
          <w:rFonts w:hint="eastAsia" w:eastAsia="黑体"/>
        </w:rPr>
        <w:t>第一条</w:t>
      </w:r>
      <w:r>
        <w:rPr>
          <w:rFonts w:hint="eastAsia"/>
        </w:rPr>
        <w:t xml:space="preserve">  为了促进多元化解纠纷工作，增进社会和谐，构建共建共治共享的社会治理格局，根据有关法律、行政法规，结合本省实际，制定本条例。</w:t>
      </w:r>
    </w:p>
    <w:p>
      <w:pPr>
        <w:pStyle w:val="Normal"/>
        <w:spacing w:lineRule="exact" w:line="560"/>
        <w:ind w:firstLineChars="200" w:startChars="0" w:start="0" w:endChars="0" w:end="0"/>
        <w:rPr>
          <w:rFonts w:hint="eastAsia"/>
          <w:color w:val="0000FF"/>
        </w:rPr>
      </w:pPr>
      <w:r>
        <w:rPr>
          <w:rFonts w:hint="eastAsia" w:eastAsia="黑体"/>
        </w:rPr>
        <w:t>第二条</w:t>
      </w:r>
      <w:r>
        <w:rPr>
          <w:rFonts w:hint="eastAsia"/>
        </w:rPr>
        <w:t xml:space="preserve">  本条例适用于本省行政区域内多元化解纠纷工作和有关活动。</w:t>
      </w:r>
    </w:p>
    <w:p>
      <w:pPr>
        <w:pStyle w:val="Normal"/>
        <w:tabs>
          <w:tab w:val="clear" w:pos="420"/>
          <w:tab w:val="left" w:pos="3780" w:leader="none"/>
        </w:tabs>
        <w:spacing w:lineRule="exact" w:line="560"/>
        <w:ind w:firstLineChars="200" w:startChars="0" w:start="0" w:endChars="0" w:end="0"/>
        <w:rPr>
          <w:rFonts w:hint="eastAsia"/>
          <w:color w:val="000000"/>
        </w:rPr>
      </w:pPr>
      <w:r>
        <w:rPr>
          <w:rFonts w:hint="eastAsia" w:eastAsia="黑体"/>
        </w:rPr>
        <w:t>第三条</w:t>
      </w:r>
      <w:r>
        <w:rPr>
          <w:rFonts w:hint="eastAsia"/>
        </w:rPr>
        <w:t xml:space="preserve">  </w:t>
      </w:r>
      <w:r>
        <w:rPr>
          <w:rFonts w:hint="eastAsia"/>
          <w:color w:val="000000"/>
        </w:rPr>
        <w:t>多元化解纠纷，是指通过和解、调解、行政裁决、行政复议、仲裁、诉讼等多种途径，形成合理衔接、相互协调的化解纠纷体系，为当事人提供多样、便捷、高效的化解纠纷服务。</w:t>
      </w:r>
    </w:p>
    <w:p>
      <w:pPr>
        <w:pStyle w:val="Normal"/>
        <w:spacing w:lineRule="exact" w:line="560"/>
        <w:ind w:firstLineChars="200" w:startChars="0" w:start="0" w:endChars="0" w:end="0"/>
        <w:rPr>
          <w:rFonts w:hint="eastAsia"/>
          <w:color w:val="000000"/>
        </w:rPr>
      </w:pPr>
      <w:r>
        <w:rPr>
          <w:rFonts w:hint="eastAsia" w:eastAsia="黑体"/>
        </w:rPr>
        <w:t>第四条</w:t>
      </w:r>
      <w:r>
        <w:rPr>
          <w:rFonts w:hint="eastAsia"/>
        </w:rPr>
        <w:t xml:space="preserve">  </w:t>
      </w:r>
      <w:r>
        <w:rPr>
          <w:rFonts w:hint="eastAsia"/>
          <w:color w:val="000000"/>
        </w:rPr>
        <w:t>多元化解纠纷应当坚持党委领导、政府主导、综治协调、多方参与、司法推动、法治保障，坚持属地管理与权责统一相结合，并遵循下列原则</w:t>
      </w:r>
      <w:r>
        <w:rPr>
          <w:rFonts w:hint="eastAsia"/>
          <w:color w:val="000000"/>
        </w:rPr>
        <w:t>:</w:t>
      </w:r>
    </w:p>
    <w:p>
      <w:pPr>
        <w:pStyle w:val="Normal"/>
        <w:spacing w:lineRule="exact" w:line="560"/>
        <w:ind w:firstLineChars="200" w:startChars="0" w:start="0" w:endChars="0" w:end="0"/>
        <w:rPr>
          <w:rFonts w:hint="eastAsia"/>
          <w:color w:val="000000"/>
        </w:rPr>
      </w:pPr>
      <w:r>
        <w:rPr>
          <w:rFonts w:hint="eastAsia"/>
          <w:color w:val="000000"/>
        </w:rPr>
        <w:t>（一）公平公正；</w:t>
      </w:r>
    </w:p>
    <w:p>
      <w:pPr>
        <w:pStyle w:val="Normal"/>
        <w:spacing w:lineRule="exact" w:line="560"/>
        <w:ind w:firstLineChars="200" w:startChars="0" w:start="0" w:endChars="0" w:end="0"/>
        <w:rPr>
          <w:rFonts w:hint="eastAsia"/>
          <w:color w:val="000000"/>
        </w:rPr>
      </w:pPr>
      <w:r>
        <w:rPr>
          <w:rFonts w:hint="eastAsia"/>
          <w:color w:val="000000"/>
        </w:rPr>
        <w:t>（二）不违背法律法规和国家政策，尊重公序良俗；</w:t>
      </w:r>
    </w:p>
    <w:p>
      <w:pPr>
        <w:pStyle w:val="Normal"/>
        <w:spacing w:lineRule="exact" w:line="560"/>
        <w:ind w:firstLineChars="200" w:startChars="0" w:start="0" w:endChars="0" w:end="0"/>
        <w:rPr>
          <w:rFonts w:hint="eastAsia"/>
          <w:color w:val="000000"/>
        </w:rPr>
      </w:pPr>
      <w:r>
        <w:rPr>
          <w:rFonts w:hint="eastAsia"/>
          <w:color w:val="000000"/>
        </w:rPr>
        <w:t>（三）和解、调解优先，多方衔接联动；</w:t>
      </w:r>
    </w:p>
    <w:p>
      <w:pPr>
        <w:pStyle w:val="Normal"/>
        <w:spacing w:lineRule="exact" w:line="560"/>
        <w:ind w:firstLineChars="200" w:startChars="0" w:start="0" w:endChars="0" w:end="0"/>
        <w:rPr>
          <w:rFonts w:hint="eastAsia"/>
          <w:color w:val="0000FF"/>
        </w:rPr>
      </w:pPr>
      <w:r>
        <w:rPr>
          <w:rFonts w:hint="eastAsia"/>
          <w:color w:val="000000"/>
        </w:rPr>
        <w:t>（四）预防与化解相结合。</w:t>
      </w:r>
    </w:p>
    <w:p>
      <w:pPr>
        <w:pStyle w:val="Normal"/>
        <w:spacing w:lineRule="exact" w:line="560"/>
        <w:ind w:firstLineChars="200" w:startChars="0" w:start="0" w:endChars="0" w:end="0"/>
        <w:rPr>
          <w:rFonts w:hint="eastAsia"/>
        </w:rPr>
      </w:pPr>
      <w:r>
        <w:rPr>
          <w:rFonts w:hint="eastAsia" w:eastAsia="黑体"/>
        </w:rPr>
        <w:t>第五条</w:t>
      </w:r>
      <w:r>
        <w:rPr>
          <w:rFonts w:hint="eastAsia"/>
        </w:rPr>
        <w:t xml:space="preserve">  各级人民政府和有关部门、统筹协调社会治安综合治理的部门（以下简称综治统筹协调部门）、人民法院、人民检察院、群团组织、基层群众性自治组织、企事业单位和其他社会组织，应当按照各自职责建立健全社会稳定风险防范、纠纷排查调解处理等制度，推进多元化解纠纷机制建设，从源头上预防和化解纠纷。</w:t>
      </w:r>
    </w:p>
    <w:p>
      <w:pPr>
        <w:pStyle w:val="Normal"/>
        <w:spacing w:lineRule="exact" w:line="560"/>
        <w:ind w:firstLineChars="200" w:startChars="0" w:start="0" w:endChars="0" w:end="0"/>
        <w:rPr>
          <w:rFonts w:hint="eastAsia"/>
        </w:rPr>
      </w:pPr>
      <w:r>
        <w:rPr>
          <w:rFonts w:hint="eastAsia"/>
        </w:rPr>
        <w:t>鼓励和支持公道正派、群众认可的社会人士和其他社会力量依法参与化解纠纷。</w:t>
      </w:r>
    </w:p>
    <w:p>
      <w:pPr>
        <w:pStyle w:val="Normal"/>
        <w:spacing w:lineRule="exact" w:line="560"/>
        <w:ind w:firstLineChars="200" w:startChars="0" w:start="0" w:endChars="0" w:end="0"/>
        <w:rPr>
          <w:rFonts w:hint="eastAsia"/>
        </w:rPr>
      </w:pPr>
      <w:r>
        <w:rPr>
          <w:rFonts w:hint="eastAsia" w:eastAsia="黑体"/>
        </w:rPr>
        <w:t>第六条</w:t>
      </w:r>
      <w:r>
        <w:rPr>
          <w:rFonts w:hint="eastAsia"/>
        </w:rPr>
        <w:t xml:space="preserve">  国家机关、群团组织、企事业单位、新闻媒体等应当按照各自职责开展法治宣传教育，弘扬和践行社会主义核心价值观，普及多元化解纠纷法律知识，宣传典型案例，增进公众对多元化解纠纷的理解和认同，增强全民法治观念，培育自尊自信、理性平和、积极向上的社会心态。</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eastAsia="黑体" w:hint="eastAsia"/>
        </w:rPr>
      </w:pPr>
      <w:r>
        <w:rPr>
          <w:rFonts w:hint="eastAsia" w:eastAsia="黑体"/>
        </w:rPr>
        <w:t>第二章  化解主体</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ind w:firstLineChars="200" w:startChars="0" w:start="0" w:endChars="0" w:end="0"/>
        <w:rPr>
          <w:rFonts w:hint="eastAsia"/>
          <w:color w:val="0000FF"/>
        </w:rPr>
      </w:pPr>
      <w:r>
        <w:rPr>
          <w:rFonts w:hint="eastAsia" w:eastAsia="黑体"/>
        </w:rPr>
        <w:t>第七条</w:t>
      </w:r>
      <w:r>
        <w:rPr>
          <w:rFonts w:hint="eastAsia"/>
        </w:rPr>
        <w:t xml:space="preserve">  县级以上人民政府应当将多元化解纠纷工作纳入国民经济和社会发展规划。</w:t>
      </w:r>
    </w:p>
    <w:p>
      <w:pPr>
        <w:pStyle w:val="Normal"/>
        <w:spacing w:lineRule="exact" w:line="560"/>
        <w:ind w:firstLineChars="200" w:startChars="0" w:start="0" w:endChars="0" w:end="0"/>
        <w:rPr>
          <w:rFonts w:hint="eastAsia"/>
        </w:rPr>
      </w:pPr>
      <w:r>
        <w:rPr>
          <w:rFonts w:hint="eastAsia"/>
        </w:rPr>
        <w:t>各级人民政府应当加强预防和化解纠纷能力建设，培育化解纠纷组织，督促有关部门落实化解纠纷职责。</w:t>
      </w:r>
    </w:p>
    <w:p>
      <w:pPr>
        <w:pStyle w:val="Normal"/>
        <w:spacing w:lineRule="exact" w:line="560"/>
        <w:ind w:firstLineChars="200" w:startChars="0" w:start="0" w:endChars="0" w:end="0"/>
        <w:rPr>
          <w:rFonts w:hint="eastAsia"/>
        </w:rPr>
      </w:pPr>
      <w:r>
        <w:rPr>
          <w:rFonts w:hint="eastAsia" w:eastAsia="黑体"/>
        </w:rPr>
        <w:t>第八条</w:t>
      </w:r>
      <w:r>
        <w:rPr>
          <w:rFonts w:hint="eastAsia"/>
        </w:rPr>
        <w:t xml:space="preserve">  综治统筹协调部门将多元化解纠纷综合性一站式服务纳入县（市、区）、乡镇（街道）、村（社区）综治中心工作范围，组织开展纠纷排查、分流处置、归口管理和跟踪落实工作，协调化解各类纠纷。</w:t>
      </w:r>
    </w:p>
    <w:p>
      <w:pPr>
        <w:pStyle w:val="Normal"/>
        <w:spacing w:lineRule="exact" w:line="560"/>
        <w:ind w:firstLineChars="200" w:startChars="0" w:start="0" w:endChars="0" w:end="0"/>
        <w:rPr>
          <w:rFonts w:hint="eastAsia"/>
          <w:color w:val="0000FF"/>
        </w:rPr>
      </w:pPr>
      <w:r>
        <w:rPr>
          <w:rFonts w:hint="eastAsia" w:eastAsia="黑体"/>
        </w:rPr>
        <w:t>第九条</w:t>
      </w:r>
      <w:r>
        <w:rPr>
          <w:rFonts w:hint="eastAsia"/>
        </w:rPr>
        <w:t xml:space="preserve">  人民法院应当建立健全</w:t>
      </w:r>
      <w:r>
        <w:rPr>
          <w:rFonts w:hint="eastAsia"/>
          <w:color w:val="000000"/>
        </w:rPr>
        <w:t>诉讼与非诉讼化解纠纷渠道相衔接的工作制度，与行政机关、公证机构、仲裁机构和调解组织协调配合，推动程序安排、效力确认、生效法律文书执行和法律指导等方面的有机衔接。</w:t>
      </w:r>
    </w:p>
    <w:p>
      <w:pPr>
        <w:pStyle w:val="Normal"/>
        <w:spacing w:lineRule="exact" w:line="560"/>
        <w:ind w:firstLineChars="200" w:startChars="0" w:start="0" w:endChars="0" w:end="0"/>
        <w:rPr>
          <w:rFonts w:hint="eastAsia"/>
          <w:color w:val="0000FF"/>
        </w:rPr>
      </w:pPr>
      <w:r>
        <w:rPr>
          <w:rFonts w:hint="eastAsia" w:eastAsia="黑体"/>
        </w:rPr>
        <w:t>第十条</w:t>
      </w:r>
      <w:r>
        <w:rPr>
          <w:rFonts w:hint="eastAsia"/>
        </w:rPr>
        <w:t xml:space="preserve">  人民检察院应当建立健全检调对接等制度，完善参与化解纠纷工作机制，做好化解纠纷工作。</w:t>
      </w:r>
    </w:p>
    <w:p>
      <w:pPr>
        <w:pStyle w:val="Normal"/>
        <w:spacing w:lineRule="exact" w:line="560"/>
        <w:ind w:firstLineChars="200" w:startChars="0" w:start="0" w:endChars="0" w:end="0"/>
        <w:rPr>
          <w:rFonts w:hint="eastAsia"/>
        </w:rPr>
      </w:pPr>
      <w:r>
        <w:rPr>
          <w:rFonts w:hint="eastAsia" w:eastAsia="黑体"/>
        </w:rPr>
        <w:t>第十一条</w:t>
      </w:r>
      <w:r>
        <w:rPr>
          <w:rFonts w:hint="eastAsia"/>
        </w:rPr>
        <w:t xml:space="preserve">  公安机关可以参与乡镇（街道）、村（社区）化解纠纷工作；在办理治安、交通事故、轻微刑事等案件中，对符合和解、调解条件的，可以协调当事人和解、调解。</w:t>
      </w:r>
    </w:p>
    <w:p>
      <w:pPr>
        <w:pStyle w:val="Normal"/>
        <w:spacing w:lineRule="exact" w:line="560"/>
        <w:ind w:firstLineChars="200" w:startChars="0" w:start="0" w:endChars="0" w:end="0"/>
        <w:rPr>
          <w:rFonts w:hint="eastAsia"/>
          <w:color w:val="0000FF"/>
        </w:rPr>
      </w:pPr>
      <w:r>
        <w:rPr>
          <w:rFonts w:hint="eastAsia" w:eastAsia="黑体"/>
        </w:rPr>
        <w:t>第十二条</w:t>
      </w:r>
      <w:r>
        <w:rPr>
          <w:rFonts w:hint="eastAsia"/>
        </w:rPr>
        <w:t xml:space="preserve">  司法行政部门负责指导人民调解工作，推动设立行业性、专业性人民调解组织，加强人民调解组织网络化建设，完善人民调解工作机制，促进人民调解与行政调解、司法调解等衔接联动；负责行政调解的综合协调和指导，完善行政裁决、行政复议、行政应诉等工作机制，推动行政争议和行政管理涉及的民事纠纷得到有效化解；推动律师事务所、公证机构、司法鉴定机构、基层法律服务所、法律援助机构等法律服务组织参与</w:t>
      </w:r>
      <w:r>
        <w:rPr>
          <w:rFonts w:hint="eastAsia"/>
          <w:spacing w:val="-6"/>
        </w:rPr>
        <w:t>化解</w:t>
      </w:r>
      <w:r>
        <w:rPr>
          <w:rFonts w:hint="eastAsia"/>
        </w:rPr>
        <w:t>纠</w:t>
      </w:r>
      <w:r>
        <w:rPr>
          <w:rFonts w:hint="eastAsia"/>
          <w:spacing w:val="-6"/>
        </w:rPr>
        <w:t>纷；建立完善律师参与化解涉法涉诉信访案件等相关工作机制。</w:t>
      </w:r>
    </w:p>
    <w:p>
      <w:pPr>
        <w:pStyle w:val="Normal"/>
        <w:spacing w:lineRule="exact" w:line="560"/>
        <w:ind w:firstLineChars="200" w:startChars="0" w:start="0" w:endChars="0" w:end="0"/>
        <w:rPr>
          <w:rFonts w:hint="eastAsia"/>
          <w:color w:val="0000FF"/>
        </w:rPr>
      </w:pPr>
      <w:r>
        <w:rPr>
          <w:rFonts w:hint="eastAsia" w:eastAsia="黑体"/>
        </w:rPr>
        <w:t>第十三条</w:t>
      </w:r>
      <w:r>
        <w:rPr>
          <w:rFonts w:hint="eastAsia"/>
        </w:rPr>
        <w:t xml:space="preserve">  信访工作机构</w:t>
      </w:r>
      <w:r>
        <w:rPr>
          <w:rFonts w:hint="eastAsia"/>
          <w:color w:val="000000"/>
        </w:rPr>
        <w:t>应当指导、督促有关单位依法开展信访工作，</w:t>
      </w:r>
      <w:r>
        <w:rPr>
          <w:rFonts w:hint="eastAsia"/>
        </w:rPr>
        <w:t>协调处理信访事项，会同有关单位按照法定途径分类处理信访事项，促进纠纷依法、及时、就地化解。</w:t>
      </w:r>
    </w:p>
    <w:p>
      <w:pPr>
        <w:pStyle w:val="Normal"/>
        <w:spacing w:lineRule="exact" w:line="560"/>
        <w:ind w:firstLineChars="200" w:startChars="0" w:start="0" w:endChars="0" w:end="0"/>
        <w:rPr>
          <w:rFonts w:hint="eastAsia"/>
        </w:rPr>
      </w:pPr>
      <w:r>
        <w:rPr>
          <w:rFonts w:hint="eastAsia" w:eastAsia="黑体"/>
        </w:rPr>
        <w:t>第十四条</w:t>
      </w:r>
      <w:r>
        <w:rPr>
          <w:rFonts w:hint="eastAsia"/>
        </w:rPr>
        <w:t xml:space="preserve">  </w:t>
      </w:r>
      <w:r>
        <w:rPr>
          <w:rFonts w:hint="eastAsia"/>
          <w:color w:val="000000"/>
        </w:rPr>
        <w:t>民政、</w:t>
      </w:r>
      <w:r>
        <w:rPr>
          <w:rFonts w:hint="eastAsia"/>
        </w:rPr>
        <w:t>人力资源社会保障、自然资源、生态环境、住房城乡建设、交通运输、农业农村、卫生健康、退役军人事务、市场监督管理等有关部门和机构，应当按照各自职责依法开展行政调解、行政复议、行政裁决。</w:t>
      </w:r>
    </w:p>
    <w:p>
      <w:pPr>
        <w:pStyle w:val="Normal"/>
        <w:spacing w:lineRule="exact" w:line="560"/>
        <w:ind w:firstLineChars="200" w:startChars="0" w:start="0" w:endChars="0" w:end="0"/>
        <w:rPr>
          <w:rFonts w:hint="eastAsia"/>
        </w:rPr>
      </w:pPr>
      <w:r>
        <w:rPr>
          <w:rFonts w:hint="eastAsia"/>
        </w:rPr>
        <w:t>法律法规授权的具有社会公共事务管理职能的组织，应当结合职能参与调解工作。</w:t>
      </w:r>
    </w:p>
    <w:p>
      <w:pPr>
        <w:pStyle w:val="Normal"/>
        <w:spacing w:lineRule="exact" w:line="560"/>
        <w:ind w:firstLineChars="200" w:startChars="0" w:start="0" w:endChars="0" w:end="0"/>
        <w:rPr>
          <w:rFonts w:hint="eastAsia"/>
        </w:rPr>
      </w:pPr>
      <w:r>
        <w:rPr>
          <w:rFonts w:cs="黑体" w:hint="eastAsia" w:eastAsia="黑体"/>
        </w:rPr>
        <w:t xml:space="preserve">第十五条  </w:t>
      </w:r>
      <w:r>
        <w:rPr>
          <w:rFonts w:hint="eastAsia"/>
        </w:rPr>
        <w:t>工会、共青团、妇联、工商联、残联、老龄工作机构和消保委等应当按照各自职责，参与多元化解纠纷机制建设，共同做好化解纠纷工作。</w:t>
      </w:r>
    </w:p>
    <w:p>
      <w:pPr>
        <w:pStyle w:val="Normal"/>
        <w:spacing w:lineRule="exact" w:line="560"/>
        <w:ind w:firstLineChars="200" w:startChars="0" w:start="0" w:endChars="0" w:end="0"/>
        <w:rPr>
          <w:rFonts w:cs="宋体" w:hint="eastAsia"/>
          <w:color w:val="000000"/>
          <w:shd w:fill="B2B2B2" w:val="clear"/>
        </w:rPr>
      </w:pPr>
      <w:r>
        <w:rPr>
          <w:rFonts w:hint="eastAsia" w:eastAsia="黑体"/>
        </w:rPr>
        <w:t>第</w:t>
      </w:r>
      <w:r>
        <w:rPr>
          <w:rFonts w:cs="黑体" w:hint="eastAsia" w:eastAsia="黑体"/>
        </w:rPr>
        <w:t>十六</w:t>
      </w:r>
      <w:r>
        <w:rPr>
          <w:rFonts w:hint="eastAsia" w:eastAsia="黑体"/>
        </w:rPr>
        <w:t>条</w:t>
      </w:r>
      <w:r>
        <w:rPr>
          <w:rFonts w:hint="eastAsia"/>
        </w:rPr>
        <w:t xml:space="preserve">  劳动人事争议仲裁机构应当依法及时化解劳动人事争议。</w:t>
      </w:r>
    </w:p>
    <w:p>
      <w:pPr>
        <w:pStyle w:val="Normal"/>
        <w:spacing w:lineRule="exact" w:line="560"/>
        <w:ind w:firstLineChars="200" w:startChars="0" w:start="0" w:endChars="0" w:end="0"/>
        <w:rPr>
          <w:rFonts w:hint="eastAsia"/>
        </w:rPr>
      </w:pPr>
      <w:r>
        <w:rPr>
          <w:rFonts w:hint="eastAsia"/>
        </w:rPr>
        <w:t>人力资源社会保障行政部门应当加强对劳动人事争议调解工作的指导，会同工会、企业联合会、工商联完善协调劳动关系三方机制，推动劳动人事争议调解组织建设。</w:t>
      </w:r>
    </w:p>
    <w:p>
      <w:pPr>
        <w:pStyle w:val="Normal"/>
        <w:spacing w:lineRule="exact" w:line="560"/>
        <w:ind w:firstLineChars="200" w:startChars="0" w:start="0" w:endChars="0" w:end="0"/>
        <w:rPr>
          <w:rFonts w:hint="eastAsia"/>
        </w:rPr>
      </w:pPr>
      <w:r>
        <w:rPr>
          <w:rFonts w:hint="eastAsia"/>
        </w:rPr>
        <w:t>县级以上工会组织应当督促、帮助有条件的用人单位依法设立劳动人事争议调解组织，推动乡镇（街道）以及行业性、区域性劳动人事争议调解组织建设。</w:t>
      </w:r>
    </w:p>
    <w:p>
      <w:pPr>
        <w:pStyle w:val="Normal"/>
        <w:spacing w:lineRule="exact" w:line="560"/>
        <w:ind w:firstLineChars="200" w:startChars="0" w:start="0" w:endChars="0" w:end="0"/>
        <w:rPr>
          <w:rFonts w:eastAsia="黑体" w:hint="eastAsia"/>
          <w:u w:val="single"/>
        </w:rPr>
      </w:pPr>
      <w:r>
        <w:rPr>
          <w:rFonts w:hint="eastAsia" w:eastAsia="黑体"/>
        </w:rPr>
        <w:t>第十七条</w:t>
      </w:r>
      <w:r>
        <w:rPr>
          <w:rFonts w:hint="eastAsia"/>
        </w:rPr>
        <w:t xml:space="preserve">  设区的市、县（市、区）人民政府依法指导设立农村土地承包仲裁机构，建立完善化解纠纷机制，及时化解农村土地承包经营纠纷。</w:t>
      </w:r>
    </w:p>
    <w:p>
      <w:pPr>
        <w:pStyle w:val="Normal"/>
        <w:spacing w:lineRule="exact" w:line="560"/>
        <w:ind w:firstLineChars="200" w:startChars="0" w:start="0" w:endChars="0" w:end="0"/>
        <w:rPr>
          <w:rFonts w:hint="eastAsia"/>
        </w:rPr>
      </w:pPr>
      <w:r>
        <w:rPr>
          <w:rFonts w:hint="eastAsia" w:eastAsia="黑体"/>
        </w:rPr>
        <w:t>第十八条</w:t>
      </w:r>
      <w:r>
        <w:rPr>
          <w:rFonts w:hint="eastAsia"/>
        </w:rPr>
        <w:t xml:space="preserve">  设区的市、县（市、区）可以设立交通事故、医疗纠纷等行业性、专业性人民调解委员会，调解有关纠纷。公安、司法行政、卫生健康和保险监管等部门应当联动配合，及时高效化解纠纷。</w:t>
      </w:r>
    </w:p>
    <w:p>
      <w:pPr>
        <w:pStyle w:val="Normal"/>
        <w:spacing w:lineRule="exact" w:line="560"/>
        <w:ind w:firstLineChars="200" w:startChars="0" w:start="0" w:endChars="0" w:end="0"/>
        <w:rPr>
          <w:rFonts w:hint="eastAsia"/>
        </w:rPr>
      </w:pPr>
      <w:r>
        <w:rPr>
          <w:rFonts w:hint="eastAsia"/>
        </w:rPr>
        <w:t>设区的市、县（市、区）和乡镇（街道）可以设立物业纠纷人民调解委员会，调解物业纠纷。</w:t>
      </w:r>
    </w:p>
    <w:p>
      <w:pPr>
        <w:pStyle w:val="Normal"/>
        <w:spacing w:lineRule="exact" w:line="560"/>
        <w:ind w:firstLineChars="200" w:startChars="0" w:start="0" w:endChars="0" w:end="0"/>
        <w:rPr>
          <w:rFonts w:hint="eastAsia"/>
        </w:rPr>
      </w:pPr>
      <w:r>
        <w:rPr>
          <w:rFonts w:hint="eastAsia"/>
        </w:rPr>
        <w:t>村民委员会、居民委员会应当健全人民调解委员会，探索村（居）民议事会、理事会、恳谈会等协商形式，预防和化解纠纷。</w:t>
      </w:r>
    </w:p>
    <w:p>
      <w:pPr>
        <w:pStyle w:val="Normal"/>
        <w:spacing w:lineRule="exact" w:line="560"/>
        <w:ind w:firstLineChars="200" w:startChars="0" w:start="0" w:endChars="0" w:end="0"/>
        <w:rPr>
          <w:rFonts w:hint="eastAsia"/>
        </w:rPr>
      </w:pPr>
      <w:r>
        <w:rPr>
          <w:rFonts w:hint="eastAsia"/>
        </w:rPr>
        <w:t>企事业单位、社会团体、其他组织根据需要设立人民调解委员会，调解民间纠纷。</w:t>
      </w:r>
    </w:p>
    <w:p>
      <w:pPr>
        <w:pStyle w:val="Normal"/>
        <w:spacing w:lineRule="exact" w:line="560"/>
        <w:ind w:firstLineChars="200" w:startChars="0" w:start="0" w:endChars="0" w:end="0"/>
        <w:rPr>
          <w:rFonts w:hint="eastAsia"/>
        </w:rPr>
      </w:pPr>
      <w:r>
        <w:rPr>
          <w:rFonts w:hint="eastAsia" w:eastAsia="黑体"/>
        </w:rPr>
        <w:t>第十九条</w:t>
      </w:r>
      <w:r>
        <w:rPr>
          <w:rFonts w:hint="eastAsia"/>
        </w:rPr>
        <w:t xml:space="preserve">  行业主管部门应当支持、推动设立本行业的行业性、专业性调解组织。</w:t>
      </w:r>
    </w:p>
    <w:p>
      <w:pPr>
        <w:pStyle w:val="Normal"/>
        <w:spacing w:lineRule="exact" w:line="560"/>
        <w:ind w:firstLineChars="200" w:startChars="0" w:start="0" w:endChars="0" w:end="0"/>
        <w:rPr>
          <w:rFonts w:eastAsia="黑体" w:hint="eastAsia"/>
          <w:u w:val="single"/>
        </w:rPr>
      </w:pPr>
      <w:r>
        <w:rPr>
          <w:rFonts w:hint="eastAsia"/>
        </w:rPr>
        <w:t>交通运输、医疗保障、卫生健康、婚姻家庭、劳动人事、物业管理、征地拆迁、消费者权益保护、生态环境保护等领域的社会团体以及其他社会组织可以设立行业性、专业性调解组织。</w:t>
      </w:r>
    </w:p>
    <w:p>
      <w:pPr>
        <w:pStyle w:val="Normal"/>
        <w:spacing w:lineRule="exact" w:line="560"/>
        <w:ind w:firstLineChars="200" w:startChars="0" w:start="0" w:endChars="0" w:end="0"/>
        <w:rPr>
          <w:rFonts w:eastAsia="黑体" w:hint="eastAsia"/>
          <w:u w:val="single"/>
        </w:rPr>
      </w:pPr>
      <w:r>
        <w:rPr>
          <w:rFonts w:hint="eastAsia" w:eastAsia="黑体"/>
        </w:rPr>
        <w:t xml:space="preserve">第二十条  </w:t>
      </w:r>
      <w:r>
        <w:rPr>
          <w:rFonts w:hint="eastAsia"/>
        </w:rPr>
        <w:t>商会、行业协会、民办非企业单位、商事仲裁机构等在投资、贸易、金融、房地产、工程承包、运输、知识产权、技术转让等领域可以设立相关商事调解组织，为化解商事纠纷提供服务。</w:t>
      </w:r>
    </w:p>
    <w:p>
      <w:pPr>
        <w:pStyle w:val="Normal"/>
        <w:spacing w:lineRule="exact" w:line="560"/>
        <w:ind w:firstLineChars="200" w:startChars="0" w:start="0" w:endChars="0" w:end="0"/>
        <w:rPr>
          <w:rFonts w:hint="eastAsia"/>
        </w:rPr>
      </w:pPr>
      <w:r>
        <w:rPr>
          <w:rFonts w:hint="eastAsia" w:eastAsia="黑体"/>
        </w:rPr>
        <w:t xml:space="preserve">第二十一条  </w:t>
      </w:r>
      <w:r>
        <w:rPr>
          <w:rFonts w:hint="eastAsia"/>
        </w:rPr>
        <w:t>公证机构可以在家事、商事等领域开展调解服务，可以对具有给付内容的和解协议、调解协议办理具有强制执行效力的债权文书公证。</w:t>
      </w:r>
    </w:p>
    <w:p>
      <w:pPr>
        <w:pStyle w:val="Normal"/>
        <w:spacing w:lineRule="exact" w:line="560"/>
        <w:ind w:firstLineChars="200" w:startChars="0" w:start="0" w:endChars="0" w:end="0"/>
        <w:rPr>
          <w:rFonts w:hint="eastAsia"/>
        </w:rPr>
      </w:pPr>
      <w:r>
        <w:rPr>
          <w:rFonts w:hint="eastAsia" w:eastAsia="黑体"/>
        </w:rPr>
        <w:t xml:space="preserve">第二十二条  </w:t>
      </w:r>
      <w:r>
        <w:rPr>
          <w:rFonts w:hint="eastAsia"/>
        </w:rPr>
        <w:t>律师、律师调解工作室或者律师调解中心可以作为中立第三方主持调解，协助纠纷当事人达成协议化解纠纷。</w:t>
      </w:r>
    </w:p>
    <w:p>
      <w:pPr>
        <w:pStyle w:val="Normal"/>
        <w:spacing w:lineRule="exact" w:line="560"/>
        <w:ind w:firstLineChars="200" w:startChars="0" w:start="0" w:endChars="0" w:end="0"/>
        <w:rPr>
          <w:rFonts w:hint="eastAsia"/>
          <w:color w:val="0000FF"/>
        </w:rPr>
      </w:pPr>
      <w:r>
        <w:rPr>
          <w:rFonts w:hint="eastAsia"/>
        </w:rPr>
        <w:t>鼓励和支持人民调解员、法律专家和法律服务工作者等依托相应调解组织设立个人调解工作室。</w:t>
      </w:r>
    </w:p>
    <w:p>
      <w:pPr>
        <w:pStyle w:val="Normal"/>
        <w:spacing w:lineRule="exact" w:line="560"/>
        <w:ind w:firstLineChars="200" w:startChars="0" w:start="0" w:endChars="0" w:end="0"/>
        <w:rPr>
          <w:rFonts w:hint="eastAsia"/>
        </w:rPr>
      </w:pPr>
      <w:r>
        <w:rPr>
          <w:rFonts w:hint="eastAsia" w:eastAsia="黑体"/>
        </w:rPr>
        <w:t xml:space="preserve">第二十三条  </w:t>
      </w:r>
      <w:r>
        <w:rPr>
          <w:rFonts w:hint="eastAsia"/>
        </w:rPr>
        <w:t>化解纠纷过程中，可以邀请有关组织以及党代表、人大代表、政协委员、法律专家、心理专家、社区工作者、社会志愿者等参与化解纠纷。</w:t>
      </w:r>
    </w:p>
    <w:p>
      <w:pPr>
        <w:pStyle w:val="Normal"/>
        <w:spacing w:lineRule="exact" w:line="560"/>
        <w:ind w:firstLineChars="200" w:startChars="0" w:start="0" w:endChars="0" w:end="0"/>
        <w:rPr>
          <w:rFonts w:hint="eastAsia"/>
        </w:rPr>
      </w:pPr>
      <w:r>
        <w:rPr>
          <w:rFonts w:hint="eastAsia" w:eastAsia="黑体"/>
        </w:rPr>
        <w:t xml:space="preserve">第二十四条  </w:t>
      </w:r>
      <w:r>
        <w:rPr>
          <w:rFonts w:hint="eastAsia"/>
        </w:rPr>
        <w:t>有关国家机关和社会组织应当在综治统筹协调部门协调下，建立工作联动机制，形成化解纠纷协同工作格局；坚持属地管理和谁主管谁负责，对跨行政区域、跨部门、跨行业以及涉及人数众多、社会影响较大的纠纷，加强配合，共同化解。</w:t>
      </w:r>
    </w:p>
    <w:p>
      <w:pPr>
        <w:pStyle w:val="Normal"/>
        <w:spacing w:lineRule="exact" w:line="560"/>
        <w:ind w:firstLineChars="200" w:startChars="0" w:start="0" w:endChars="0" w:end="0"/>
        <w:rPr>
          <w:rFonts w:hint="eastAsia"/>
        </w:rPr>
      </w:pPr>
      <w:r>
        <w:rPr>
          <w:rFonts w:hint="eastAsia"/>
        </w:rPr>
      </w:r>
    </w:p>
    <w:p>
      <w:pPr>
        <w:pStyle w:val="Normal"/>
        <w:spacing w:lineRule="exact" w:line="560"/>
        <w:jc w:val="center"/>
        <w:rPr>
          <w:rFonts w:eastAsia="黑体" w:hint="eastAsia"/>
        </w:rPr>
      </w:pPr>
      <w:r>
        <w:rPr>
          <w:rFonts w:hint="eastAsia" w:eastAsia="黑体"/>
        </w:rPr>
        <w:t>第三章  化解途径</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ind w:firstLineChars="200" w:startChars="0" w:start="0" w:endChars="0" w:end="0"/>
        <w:rPr>
          <w:rFonts w:hint="eastAsia"/>
        </w:rPr>
      </w:pPr>
      <w:r>
        <w:rPr>
          <w:rFonts w:hint="eastAsia" w:eastAsia="黑体"/>
        </w:rPr>
        <w:t>第二十五条</w:t>
      </w:r>
      <w:r>
        <w:rPr>
          <w:rFonts w:hint="eastAsia"/>
        </w:rPr>
        <w:t xml:space="preserve">  当事人可以依法自主选择下列化解纠纷途径：</w:t>
      </w:r>
    </w:p>
    <w:p>
      <w:pPr>
        <w:pStyle w:val="Normal"/>
        <w:spacing w:lineRule="exact" w:line="560"/>
        <w:ind w:firstLineChars="200" w:startChars="0" w:start="0" w:endChars="0" w:end="0"/>
        <w:rPr>
          <w:rFonts w:hint="eastAsia"/>
        </w:rPr>
      </w:pPr>
      <w:r>
        <w:rPr>
          <w:rFonts w:hint="eastAsia"/>
        </w:rPr>
        <w:t>（一）和解</w:t>
      </w:r>
      <w:r>
        <w:rPr>
          <w:rFonts w:hint="eastAsia"/>
        </w:rPr>
        <w:t>;</w:t>
      </w:r>
    </w:p>
    <w:p>
      <w:pPr>
        <w:pStyle w:val="Normal"/>
        <w:spacing w:lineRule="exact" w:line="560"/>
        <w:ind w:firstLineChars="200" w:startChars="0" w:start="0" w:endChars="0" w:end="0"/>
        <w:rPr>
          <w:rFonts w:hint="eastAsia"/>
        </w:rPr>
      </w:pPr>
      <w:r>
        <w:rPr>
          <w:rFonts w:hint="eastAsia"/>
        </w:rPr>
        <w:t>（二）调解</w:t>
      </w:r>
      <w:r>
        <w:rPr>
          <w:rFonts w:hint="eastAsia"/>
        </w:rPr>
        <w:t>;</w:t>
      </w:r>
    </w:p>
    <w:p>
      <w:pPr>
        <w:pStyle w:val="Normal"/>
        <w:spacing w:lineRule="exact" w:line="560"/>
        <w:ind w:firstLineChars="200" w:startChars="0" w:start="0" w:endChars="0" w:end="0"/>
        <w:rPr>
          <w:rFonts w:hint="eastAsia"/>
        </w:rPr>
      </w:pPr>
      <w:r>
        <w:rPr>
          <w:rFonts w:hint="eastAsia"/>
        </w:rPr>
        <w:t>（三）行政裁决</w:t>
      </w:r>
      <w:r>
        <w:rPr>
          <w:rFonts w:hint="eastAsia"/>
        </w:rPr>
        <w:t>;</w:t>
      </w:r>
    </w:p>
    <w:p>
      <w:pPr>
        <w:pStyle w:val="Normal"/>
        <w:spacing w:lineRule="exact" w:line="560"/>
        <w:ind w:firstLineChars="200" w:startChars="0" w:start="0" w:endChars="0" w:end="0"/>
        <w:rPr>
          <w:rFonts w:hint="eastAsia"/>
        </w:rPr>
      </w:pPr>
      <w:r>
        <w:rPr>
          <w:rFonts w:hint="eastAsia"/>
        </w:rPr>
        <w:t>（四）行政复议</w:t>
      </w:r>
      <w:r>
        <w:rPr>
          <w:rFonts w:hint="eastAsia"/>
        </w:rPr>
        <w:t>;</w:t>
      </w:r>
    </w:p>
    <w:p>
      <w:pPr>
        <w:pStyle w:val="Normal"/>
        <w:spacing w:lineRule="exact" w:line="560"/>
        <w:ind w:firstLineChars="200" w:startChars="0" w:start="0" w:endChars="0" w:end="0"/>
        <w:rPr>
          <w:rFonts w:hint="eastAsia"/>
        </w:rPr>
      </w:pPr>
      <w:r>
        <w:rPr>
          <w:rFonts w:hint="eastAsia"/>
        </w:rPr>
        <w:t>（五）仲裁</w:t>
      </w:r>
      <w:r>
        <w:rPr>
          <w:rFonts w:hint="eastAsia"/>
        </w:rPr>
        <w:t>;</w:t>
      </w:r>
    </w:p>
    <w:p>
      <w:pPr>
        <w:pStyle w:val="Normal"/>
        <w:spacing w:lineRule="exact" w:line="560"/>
        <w:ind w:firstLineChars="200" w:startChars="0" w:start="0" w:endChars="0" w:end="0"/>
        <w:rPr>
          <w:rFonts w:hint="eastAsia"/>
        </w:rPr>
      </w:pPr>
      <w:r>
        <w:rPr>
          <w:rFonts w:hint="eastAsia"/>
        </w:rPr>
        <w:t>（六）诉讼</w:t>
      </w:r>
      <w:r>
        <w:rPr>
          <w:rFonts w:hint="eastAsia"/>
        </w:rPr>
        <w:t>;</w:t>
      </w:r>
    </w:p>
    <w:p>
      <w:pPr>
        <w:pStyle w:val="Normal"/>
        <w:spacing w:lineRule="exact" w:line="560"/>
        <w:ind w:firstLineChars="200" w:startChars="0" w:start="0" w:endChars="0" w:end="0"/>
        <w:rPr>
          <w:rFonts w:hint="eastAsia"/>
        </w:rPr>
      </w:pPr>
      <w:r>
        <w:rPr>
          <w:rFonts w:hint="eastAsia"/>
        </w:rPr>
        <w:t>（七）法律法规规定的其他途径。</w:t>
      </w:r>
    </w:p>
    <w:p>
      <w:pPr>
        <w:pStyle w:val="Normal"/>
        <w:spacing w:lineRule="exact" w:line="560"/>
        <w:ind w:firstLineChars="200" w:startChars="0" w:start="0" w:endChars="0" w:end="0"/>
        <w:rPr>
          <w:rFonts w:hint="eastAsia"/>
        </w:rPr>
      </w:pPr>
      <w:r>
        <w:rPr>
          <w:rFonts w:hint="eastAsia" w:eastAsia="黑体"/>
        </w:rPr>
        <w:t>第二十六条</w:t>
      </w:r>
      <w:r>
        <w:rPr>
          <w:rFonts w:hint="eastAsia"/>
        </w:rPr>
        <w:t xml:space="preserve">  鼓励和引导当事人按照下列次序优先选择成本较低、有利于修复关系的途径化解纠纷：</w:t>
      </w:r>
    </w:p>
    <w:p>
      <w:pPr>
        <w:pStyle w:val="Normal"/>
        <w:spacing w:lineRule="exact" w:line="560"/>
        <w:ind w:firstLineChars="200" w:startChars="0" w:start="0" w:endChars="0" w:end="0"/>
        <w:rPr>
          <w:rFonts w:hint="eastAsia"/>
        </w:rPr>
      </w:pPr>
      <w:r>
        <w:rPr>
          <w:rFonts w:hint="eastAsia"/>
        </w:rPr>
        <w:t>（一）引导和解；</w:t>
      </w:r>
    </w:p>
    <w:p>
      <w:pPr>
        <w:pStyle w:val="Normal"/>
        <w:spacing w:lineRule="exact" w:line="560"/>
        <w:rPr>
          <w:rFonts w:hint="eastAsia"/>
        </w:rPr>
      </w:pPr>
      <w:r>
        <w:rPr>
          <w:rFonts w:hint="eastAsia"/>
        </w:rPr>
        <w:t xml:space="preserve">    </w:t>
      </w:r>
      <w:r>
        <w:rPr>
          <w:rFonts w:hint="eastAsia"/>
        </w:rPr>
        <w:t>（二）当事人不愿和解或者和解不成的，引导调解；</w:t>
      </w:r>
    </w:p>
    <w:p>
      <w:pPr>
        <w:pStyle w:val="Normal"/>
        <w:spacing w:lineRule="exact" w:line="560"/>
        <w:ind w:firstLineChars="200" w:startChars="0" w:start="0" w:endChars="0" w:end="0"/>
        <w:rPr>
          <w:rFonts w:hint="eastAsia"/>
        </w:rPr>
      </w:pPr>
      <w:r>
        <w:rPr>
          <w:rFonts w:hint="eastAsia"/>
        </w:rPr>
        <w:t>（三）当事人不愿调解或者调解不成，或者纠纷不宜调解的，及时告知当事人选择其他途径。依法应当由行政机关或者仲裁机构先行处理的，告知当事人申请行政机关或者仲裁机构先行处理。</w:t>
      </w:r>
    </w:p>
    <w:p>
      <w:pPr>
        <w:pStyle w:val="Normal"/>
        <w:spacing w:lineRule="exact" w:line="560"/>
        <w:ind w:firstLineChars="200" w:startChars="0" w:start="0" w:endChars="0" w:end="0"/>
        <w:rPr>
          <w:rFonts w:eastAsia="黑体" w:hint="eastAsia"/>
          <w:u w:val="single"/>
        </w:rPr>
      </w:pPr>
      <w:r>
        <w:rPr>
          <w:rFonts w:hint="eastAsia"/>
        </w:rPr>
        <w:t>各类化解纠纷主体收到当事人化解纠纷申请后，应当按照职责及时予以处理。</w:t>
      </w:r>
    </w:p>
    <w:p>
      <w:pPr>
        <w:pStyle w:val="Normal"/>
        <w:spacing w:lineRule="exact" w:line="560"/>
        <w:ind w:firstLineChars="200" w:startChars="0" w:start="0" w:endChars="0" w:end="0"/>
        <w:rPr>
          <w:rFonts w:hint="eastAsia"/>
          <w:color w:val="0000FF"/>
          <w:highlight w:val="yellow"/>
        </w:rPr>
      </w:pPr>
      <w:r>
        <w:rPr>
          <w:rFonts w:hint="eastAsia" w:eastAsia="黑体"/>
        </w:rPr>
        <w:t>第二十七条</w:t>
      </w:r>
      <w:r>
        <w:rPr>
          <w:rFonts w:hint="eastAsia"/>
        </w:rPr>
        <w:t xml:space="preserve">  鼓励和引导当事人就化解纠纷先行协商，达成和解。当事人愿意和解，但自行协商有困难的，可以邀请调解员、律师、国家机关工作人员或者其他中立第三方参与协商，促成和解。当事人应当履行达成的和解协议。</w:t>
      </w:r>
    </w:p>
    <w:p>
      <w:pPr>
        <w:pStyle w:val="Normal"/>
        <w:spacing w:lineRule="exact" w:line="560"/>
        <w:ind w:firstLineChars="200" w:startChars="0" w:start="0" w:endChars="0" w:end="0"/>
        <w:rPr>
          <w:rFonts w:eastAsia="黑体" w:hint="eastAsia"/>
          <w:u w:val="single"/>
        </w:rPr>
      </w:pPr>
      <w:r>
        <w:rPr>
          <w:rFonts w:hint="eastAsia" w:eastAsia="黑体"/>
        </w:rPr>
        <w:t xml:space="preserve">第二十八条  </w:t>
      </w:r>
      <w:r>
        <w:rPr>
          <w:rFonts w:hint="eastAsia"/>
        </w:rPr>
        <w:t>当事人之间涉及合同、债务、婚姻家庭、财产权益、邻里关系等民商事纠纷，可以向人民调解委员会等调解组织提出调解申请；涉及房屋征收、社会保障、治安管理、交通事故、医疗保障、卫生健康、消费者权益保护等依法可以由行政机关调解的行政争议或者民事纠纷，可以向有关行政机关提出行政调解申请；对违法犯罪行为产生的损害赔偿纠纷可以依法申请公安机关、人民法院进行调解。不同意调解或者调解不成的，当事人可以通过行政裁决、行政复议、仲裁、诉讼等方式化解纠纷。</w:t>
      </w:r>
    </w:p>
    <w:p>
      <w:pPr>
        <w:pStyle w:val="Normal"/>
        <w:spacing w:lineRule="exact" w:line="560"/>
        <w:ind w:firstLineChars="200" w:startChars="0" w:start="0" w:endChars="0" w:end="0"/>
        <w:rPr>
          <w:rFonts w:hint="eastAsia"/>
          <w:color w:val="0000FF"/>
        </w:rPr>
      </w:pPr>
      <w:r>
        <w:rPr>
          <w:rFonts w:hint="eastAsia" w:eastAsia="黑体"/>
        </w:rPr>
        <w:t>第二十九条</w:t>
      </w:r>
      <w:r>
        <w:rPr>
          <w:rFonts w:hint="eastAsia"/>
        </w:rPr>
        <w:t xml:space="preserve">  人民调解组织依法调解民间纠纷，也可以调解其他化解纠纷组织委派、委托或者邀请调解的纠纷。</w:t>
      </w:r>
    </w:p>
    <w:p>
      <w:pPr>
        <w:pStyle w:val="Normal"/>
        <w:spacing w:lineRule="exact" w:line="560"/>
        <w:ind w:firstLineChars="200" w:startChars="0" w:start="0" w:endChars="0" w:end="0"/>
        <w:rPr>
          <w:rFonts w:hint="eastAsia"/>
        </w:rPr>
      </w:pPr>
      <w:r>
        <w:rPr>
          <w:rFonts w:hint="eastAsia"/>
        </w:rPr>
        <w:t>行业调解、商事调解、律师调解等调解活动，可以参照人民调解程序开展。</w:t>
      </w:r>
    </w:p>
    <w:p>
      <w:pPr>
        <w:pStyle w:val="Normal"/>
        <w:spacing w:lineRule="exact" w:line="560"/>
        <w:ind w:firstLineChars="200" w:startChars="0" w:start="0" w:endChars="0" w:end="0"/>
        <w:rPr>
          <w:rFonts w:hint="eastAsia"/>
        </w:rPr>
      </w:pPr>
      <w:r>
        <w:rPr>
          <w:rFonts w:hint="eastAsia" w:eastAsia="黑体"/>
        </w:rPr>
        <w:t xml:space="preserve">第三十条 </w:t>
      </w:r>
      <w:r>
        <w:rPr>
          <w:rFonts w:hint="eastAsia"/>
        </w:rPr>
        <w:t xml:space="preserve"> 行政机关或者法律法规授权的具有社会公共事务管理职能的组织，可以根据当事人的申请，依法进行行政调解；处理具有民事权利义务内容的纠纷时，经双方当事人同意，可以委托相关调解组织调解。</w:t>
      </w:r>
    </w:p>
    <w:p>
      <w:pPr>
        <w:pStyle w:val="Normal"/>
        <w:spacing w:lineRule="exact" w:line="560"/>
        <w:ind w:firstLineChars="200" w:startChars="0" w:start="0" w:endChars="0" w:end="0"/>
        <w:rPr>
          <w:rFonts w:hint="eastAsia"/>
        </w:rPr>
      </w:pPr>
      <w:r>
        <w:rPr>
          <w:rFonts w:hint="eastAsia"/>
        </w:rPr>
        <w:t>人民政府和有关部门对资源开发、环境污染、公共安全等方面的纠纷，以及涉及人数较多、影响较大、可能影响社会稳定的纠纷，应当采取预防措施并依职权主动进行调解。</w:t>
      </w:r>
    </w:p>
    <w:p>
      <w:pPr>
        <w:pStyle w:val="Normal"/>
        <w:spacing w:lineRule="exact" w:line="560"/>
        <w:ind w:firstLineChars="200" w:startChars="0" w:start="0" w:endChars="0" w:end="0"/>
        <w:rPr>
          <w:rFonts w:hint="eastAsia"/>
        </w:rPr>
      </w:pPr>
      <w:r>
        <w:rPr>
          <w:rFonts w:hint="eastAsia"/>
        </w:rPr>
        <w:t>行政调解的具体办法，由省人民政府制定。</w:t>
      </w:r>
    </w:p>
    <w:p>
      <w:pPr>
        <w:pStyle w:val="Normal"/>
        <w:spacing w:lineRule="exact" w:line="560"/>
        <w:ind w:firstLineChars="200" w:startChars="0" w:start="0" w:endChars="0" w:end="0"/>
        <w:rPr>
          <w:rFonts w:eastAsia="黑体" w:hint="eastAsia"/>
          <w:u w:val="single"/>
        </w:rPr>
      </w:pPr>
      <w:r>
        <w:rPr>
          <w:rFonts w:hint="eastAsia" w:eastAsia="黑体"/>
        </w:rPr>
        <w:t xml:space="preserve">第三十一条  </w:t>
      </w:r>
      <w:r>
        <w:rPr>
          <w:rFonts w:hint="eastAsia"/>
        </w:rPr>
        <w:t>行政机关在作出行政裁决前可以依法先行调解；调解不成的，依法作出裁决。</w:t>
      </w:r>
    </w:p>
    <w:p>
      <w:pPr>
        <w:pStyle w:val="Normal"/>
        <w:spacing w:lineRule="exact" w:line="560"/>
        <w:ind w:firstLineChars="200" w:startChars="0" w:start="0" w:endChars="0" w:end="0"/>
        <w:rPr>
          <w:rFonts w:hint="eastAsia"/>
        </w:rPr>
      </w:pPr>
      <w:r>
        <w:rPr>
          <w:rFonts w:hint="eastAsia" w:eastAsia="黑体"/>
        </w:rPr>
        <w:t>第三十二条</w:t>
      </w:r>
      <w:r>
        <w:rPr>
          <w:rFonts w:hint="eastAsia"/>
        </w:rPr>
        <w:t xml:space="preserve">  行政复议机关对当事人提起的行政复议申请，经审查符合受理条件的，应当依法受理。有下列情形之一的，可以依法进行调解：</w:t>
      </w:r>
    </w:p>
    <w:p>
      <w:pPr>
        <w:pStyle w:val="Normal"/>
        <w:spacing w:lineRule="exact" w:line="560"/>
        <w:ind w:firstLine="640" w:end="0"/>
        <w:rPr>
          <w:rFonts w:hint="eastAsia"/>
        </w:rPr>
      </w:pPr>
      <w:r>
        <w:rPr>
          <w:rFonts w:hint="eastAsia"/>
        </w:rPr>
        <w:t>（一）对行政机关行使法律法规规定的自由裁量权作出的具体行政行为不服的；</w:t>
      </w:r>
    </w:p>
    <w:p>
      <w:pPr>
        <w:pStyle w:val="Normal"/>
        <w:spacing w:lineRule="exact" w:line="560"/>
        <w:ind w:firstLine="640" w:end="0"/>
        <w:rPr>
          <w:rFonts w:hint="eastAsia"/>
        </w:rPr>
      </w:pPr>
      <w:r>
        <w:rPr>
          <w:rFonts w:hint="eastAsia"/>
        </w:rPr>
        <w:t>（二）当事人之间的行政赔偿或者行政补偿纠纷。</w:t>
      </w:r>
    </w:p>
    <w:p>
      <w:pPr>
        <w:pStyle w:val="Normal"/>
        <w:spacing w:lineRule="exact" w:line="560"/>
        <w:ind w:firstLine="640" w:end="0"/>
        <w:rPr>
          <w:rFonts w:hint="eastAsia"/>
        </w:rPr>
      </w:pPr>
      <w:r>
        <w:rPr>
          <w:rFonts w:hint="eastAsia"/>
        </w:rPr>
        <w:t>调解不成的，行政复议机关应当依法作出行政复议决定。</w:t>
      </w:r>
    </w:p>
    <w:p>
      <w:pPr>
        <w:pStyle w:val="Normal"/>
        <w:spacing w:lineRule="exact" w:line="560"/>
        <w:ind w:firstLineChars="200" w:startChars="0" w:start="0" w:endChars="0" w:end="0"/>
        <w:rPr>
          <w:rFonts w:hint="eastAsia"/>
        </w:rPr>
      </w:pPr>
      <w:r>
        <w:rPr>
          <w:rFonts w:hint="eastAsia" w:eastAsia="黑体"/>
        </w:rPr>
        <w:t>第三十三条</w:t>
      </w:r>
      <w:r>
        <w:rPr>
          <w:rFonts w:hint="eastAsia"/>
        </w:rPr>
        <w:t xml:space="preserve">  民事商事仲裁机构对纠纷作出裁决前，当事人自愿调解的，应当进行调解；调解不成的，应当依法作出裁决。</w:t>
      </w:r>
    </w:p>
    <w:p>
      <w:pPr>
        <w:pStyle w:val="Normal"/>
        <w:spacing w:lineRule="exact" w:line="560"/>
        <w:ind w:firstLineChars="200" w:startChars="0" w:start="0" w:endChars="0" w:end="0"/>
        <w:rPr>
          <w:rFonts w:hint="eastAsia"/>
          <w:color w:val="0000FF"/>
        </w:rPr>
      </w:pPr>
      <w:r>
        <w:rPr>
          <w:rFonts w:hint="eastAsia"/>
        </w:rPr>
        <w:t>劳动人事争议仲裁机构和农村土地承包仲裁机构对受理的争议或者纠纷应当先行调解；调解不成的，应当依法</w:t>
      </w:r>
      <w:r>
        <w:rPr>
          <w:rFonts w:hint="eastAsia"/>
          <w:spacing w:val="-6"/>
        </w:rPr>
        <w:t>作出裁决。</w:t>
      </w:r>
    </w:p>
    <w:p>
      <w:pPr>
        <w:pStyle w:val="Normal"/>
        <w:spacing w:lineRule="exact" w:line="560"/>
        <w:ind w:firstLineChars="200" w:startChars="0" w:start="0" w:endChars="0" w:end="0"/>
        <w:rPr>
          <w:rFonts w:hint="eastAsia"/>
        </w:rPr>
      </w:pPr>
      <w:r>
        <w:rPr>
          <w:rFonts w:hint="eastAsia" w:eastAsia="黑体"/>
        </w:rPr>
        <w:t>第三十四条</w:t>
      </w:r>
      <w:r>
        <w:rPr>
          <w:rFonts w:hint="eastAsia"/>
        </w:rPr>
        <w:t xml:space="preserve"> </w:t>
      </w:r>
      <w:r>
        <w:rPr>
          <w:rFonts w:hint="eastAsia"/>
          <w:color w:val="FF0000"/>
        </w:rPr>
        <w:t xml:space="preserve"> </w:t>
      </w:r>
      <w:r>
        <w:rPr>
          <w:rFonts w:hint="eastAsia"/>
        </w:rPr>
        <w:t>人民检察院办理符合和解法定条件的公诉案件、民事公益诉讼案件、民事行政申诉案件等，可以建议或者引导当事人达成和解；经当事人同意，也可以邀请相关组织或者个人参与协商和解。</w:t>
      </w:r>
    </w:p>
    <w:p>
      <w:pPr>
        <w:pStyle w:val="Normal"/>
        <w:spacing w:lineRule="exact" w:line="560"/>
        <w:ind w:firstLineChars="200" w:startChars="0" w:start="0" w:endChars="0" w:end="0"/>
        <w:rPr>
          <w:rFonts w:eastAsia="黑体" w:hint="eastAsia"/>
          <w:u w:val="single"/>
        </w:rPr>
      </w:pPr>
      <w:r>
        <w:rPr>
          <w:rFonts w:hint="eastAsia" w:eastAsia="黑体"/>
        </w:rPr>
        <w:t xml:space="preserve">第三十五条  </w:t>
      </w:r>
      <w:r>
        <w:rPr>
          <w:rFonts w:hint="eastAsia"/>
        </w:rPr>
        <w:t>人民法院在登记立案前可以引导当事人选择适宜的化解纠纷途径。适宜调解的，依法自行组织调解，也可以委派人民调解组织、律师调解组织、行业调解组织等进行调解；当事人明确拒绝调解或者调解不成的，应当及时登记立案，依法审理。</w:t>
      </w:r>
    </w:p>
    <w:p>
      <w:pPr>
        <w:pStyle w:val="Normal"/>
        <w:spacing w:lineRule="exact" w:line="560"/>
        <w:ind w:firstLineChars="200" w:startChars="0" w:start="0" w:endChars="0" w:end="0"/>
        <w:rPr>
          <w:rFonts w:hint="eastAsia"/>
        </w:rPr>
      </w:pPr>
      <w:r>
        <w:rPr>
          <w:rFonts w:hint="eastAsia" w:eastAsia="黑体"/>
        </w:rPr>
        <w:t>第三十六条</w:t>
      </w:r>
      <w:r>
        <w:rPr>
          <w:rFonts w:hint="eastAsia"/>
        </w:rPr>
        <w:t xml:space="preserve">  信访工作机构收到涉法涉诉信访事项，应当告知信访人向有关调解组织、仲裁机构、行政机关或者司法机关申请处理。</w:t>
      </w:r>
    </w:p>
    <w:p>
      <w:pPr>
        <w:pStyle w:val="Normal"/>
        <w:spacing w:lineRule="exact" w:line="560"/>
        <w:ind w:firstLineChars="200" w:startChars="0" w:start="0" w:endChars="0" w:end="0"/>
        <w:rPr>
          <w:rFonts w:eastAsia="黑体" w:hint="eastAsia"/>
          <w:color w:val="000000"/>
          <w:u w:val="single"/>
        </w:rPr>
      </w:pPr>
      <w:r>
        <w:rPr>
          <w:rFonts w:hint="eastAsia" w:eastAsia="黑体"/>
          <w:color w:val="000000"/>
        </w:rPr>
        <w:t xml:space="preserve">第三十七条  </w:t>
      </w:r>
      <w:r>
        <w:rPr>
          <w:rFonts w:hint="eastAsia"/>
        </w:rPr>
        <w:t>人民政府有关部门、人民法院、人民检察院、仲裁机构、公证机构和调解组织等应当加强协调配合，通过委派、委托、邀请、移送等方式，推动程序衔接，促进纠纷化解。</w:t>
      </w:r>
    </w:p>
    <w:p>
      <w:pPr>
        <w:pStyle w:val="Normal"/>
        <w:spacing w:lineRule="exact" w:line="560"/>
        <w:ind w:firstLineChars="200" w:startChars="0" w:start="0" w:endChars="0" w:end="0"/>
        <w:rPr>
          <w:rFonts w:hint="eastAsia"/>
        </w:rPr>
      </w:pPr>
      <w:r>
        <w:rPr>
          <w:rFonts w:hint="eastAsia" w:eastAsia="黑体"/>
          <w:color w:val="000000"/>
        </w:rPr>
        <w:t>第三十八条</w:t>
      </w:r>
      <w:r>
        <w:rPr>
          <w:rFonts w:hint="eastAsia"/>
        </w:rPr>
        <w:t xml:space="preserve">  调解协议的效力确认适用有关法律的规定。</w:t>
      </w:r>
    </w:p>
    <w:p>
      <w:pPr>
        <w:pStyle w:val="Normal"/>
        <w:spacing w:lineRule="exact" w:line="560"/>
        <w:jc w:val="center"/>
        <w:rPr>
          <w:rFonts w:eastAsia="黑体" w:hint="eastAsia"/>
          <w:bCs/>
        </w:rPr>
      </w:pPr>
      <w:r>
        <w:rPr>
          <w:rFonts w:eastAsia="黑体" w:hint="eastAsia"/>
          <w:bCs/>
        </w:rPr>
      </w:r>
    </w:p>
    <w:p>
      <w:pPr>
        <w:pStyle w:val="Normal"/>
        <w:spacing w:lineRule="exact" w:line="560"/>
        <w:jc w:val="center"/>
        <w:rPr>
          <w:rFonts w:eastAsia="黑体" w:hint="eastAsia"/>
        </w:rPr>
      </w:pPr>
      <w:r>
        <w:rPr>
          <w:rFonts w:hint="eastAsia" w:eastAsia="黑体"/>
        </w:rPr>
        <w:t>第四章  保障措施</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ind w:firstLineChars="200" w:startChars="0" w:start="0" w:endChars="0" w:end="0"/>
        <w:rPr>
          <w:rFonts w:hint="eastAsia"/>
        </w:rPr>
      </w:pPr>
      <w:r>
        <w:rPr>
          <w:rFonts w:hint="eastAsia" w:eastAsia="黑体"/>
        </w:rPr>
        <w:t>第三十九条</w:t>
      </w:r>
      <w:r>
        <w:rPr>
          <w:rFonts w:hint="eastAsia"/>
        </w:rPr>
        <w:t xml:space="preserve">  各级人民政府应当提供必要的公共财政保障，对多元化解纠纷工作所需经费给予必要的支持，对社会团体和其他组织设立的人民调解委员会、人民调解员以及公益性调解组织给予适当经费补助和补贴。</w:t>
      </w:r>
    </w:p>
    <w:p>
      <w:pPr>
        <w:pStyle w:val="Normal"/>
        <w:spacing w:lineRule="exact" w:line="560"/>
        <w:ind w:firstLineChars="200" w:startChars="0" w:start="0" w:endChars="0" w:end="0"/>
        <w:rPr>
          <w:rFonts w:hint="eastAsia"/>
        </w:rPr>
      </w:pPr>
      <w:r>
        <w:rPr>
          <w:rFonts w:hint="eastAsia"/>
        </w:rPr>
        <w:t>乡镇（街道）设立的人民调解委员会所需工作经费，列入财政预算。</w:t>
      </w:r>
    </w:p>
    <w:p>
      <w:pPr>
        <w:pStyle w:val="Normal"/>
        <w:spacing w:lineRule="exact" w:line="560"/>
        <w:ind w:firstLineChars="200" w:startChars="0" w:start="0" w:endChars="0" w:end="0"/>
        <w:rPr>
          <w:rFonts w:eastAsia="黑体" w:hint="eastAsia"/>
          <w:u w:val="single"/>
        </w:rPr>
      </w:pPr>
      <w:r>
        <w:rPr>
          <w:rFonts w:hint="eastAsia"/>
        </w:rPr>
        <w:t>村民委员会、居民委员会应当为其设立的人民调解委员会提供办公条件和必要的工作经费。</w:t>
      </w:r>
    </w:p>
    <w:p>
      <w:pPr>
        <w:pStyle w:val="Normal"/>
        <w:spacing w:lineRule="exact" w:line="560"/>
        <w:ind w:firstLineChars="200" w:startChars="0" w:start="0" w:endChars="0" w:end="0"/>
        <w:rPr>
          <w:rFonts w:hint="eastAsia"/>
        </w:rPr>
      </w:pPr>
      <w:r>
        <w:rPr>
          <w:rFonts w:hint="eastAsia" w:eastAsia="黑体"/>
        </w:rPr>
        <w:t>第四十条</w:t>
      </w:r>
      <w:r>
        <w:rPr>
          <w:rFonts w:hint="eastAsia"/>
        </w:rPr>
        <w:t xml:space="preserve">  行政机关和法律法规授权的具有行政管理职能的社会组织以及纳入行政编制管理且经费由财政负担的群团组织，可以通过政府购买服务方式，将符合条件的化解纠纷工作委托社会力量办理，所需服务纳入本级本部门政府购买服务指导性目录。</w:t>
      </w:r>
    </w:p>
    <w:p>
      <w:pPr>
        <w:pStyle w:val="Normal"/>
        <w:spacing w:lineRule="exact" w:line="560"/>
        <w:ind w:firstLineChars="200" w:startChars="0" w:start="0" w:endChars="0" w:end="0"/>
        <w:rPr>
          <w:rFonts w:hint="eastAsia"/>
        </w:rPr>
      </w:pPr>
      <w:r>
        <w:rPr>
          <w:rFonts w:hint="eastAsia" w:eastAsia="黑体"/>
        </w:rPr>
        <w:t>第四十一条</w:t>
      </w:r>
      <w:r>
        <w:rPr>
          <w:rFonts w:hint="eastAsia"/>
        </w:rPr>
        <w:t xml:space="preserve">  国家机关、群团组织、劳动人事争议仲裁机构、农村土地承包仲裁机构和人民调解组织化解纠纷，不得向当事人收取费用或者报酬。法律法规另有规定的，从其规定。</w:t>
      </w:r>
    </w:p>
    <w:p>
      <w:pPr>
        <w:pStyle w:val="Normal"/>
        <w:spacing w:lineRule="exact" w:line="560"/>
        <w:ind w:firstLineChars="200" w:startChars="0" w:start="0" w:endChars="0" w:end="0"/>
        <w:rPr>
          <w:rFonts w:eastAsia="黑体" w:hint="eastAsia"/>
          <w:u w:val="single"/>
        </w:rPr>
      </w:pPr>
      <w:r>
        <w:rPr>
          <w:rFonts w:hint="eastAsia" w:eastAsia="黑体"/>
        </w:rPr>
        <w:t xml:space="preserve">第四十二条  </w:t>
      </w:r>
      <w:r>
        <w:rPr>
          <w:rFonts w:hint="eastAsia"/>
        </w:rPr>
        <w:t>设区的市、县（市、区）、乡镇（街道）、村（社区）应当建立完善多元化解纠纷综合性服务平台，为化解纠纷提供便利条件。</w:t>
      </w:r>
    </w:p>
    <w:p>
      <w:pPr>
        <w:pStyle w:val="Normal"/>
        <w:spacing w:lineRule="exact" w:line="560"/>
        <w:ind w:firstLineChars="200" w:startChars="0" w:start="0" w:endChars="0" w:end="0"/>
        <w:rPr>
          <w:rFonts w:hint="eastAsia"/>
        </w:rPr>
      </w:pPr>
      <w:r>
        <w:rPr>
          <w:rFonts w:hint="eastAsia" w:eastAsia="黑体"/>
        </w:rPr>
        <w:t xml:space="preserve">第四十三条  </w:t>
      </w:r>
      <w:r>
        <w:rPr>
          <w:rFonts w:hint="eastAsia"/>
        </w:rPr>
        <w:t>人民法院应当依托诉讼服务中心，建立诉调对接综合服务平台，完善诉调对接机制。</w:t>
      </w:r>
    </w:p>
    <w:p>
      <w:pPr>
        <w:pStyle w:val="Normal"/>
        <w:spacing w:lineRule="exact" w:line="560"/>
        <w:ind w:firstLineChars="200" w:startChars="0" w:start="0" w:endChars="0" w:end="0"/>
        <w:rPr>
          <w:rFonts w:hint="eastAsia"/>
        </w:rPr>
      </w:pPr>
      <w:r>
        <w:rPr>
          <w:rFonts w:hint="eastAsia"/>
        </w:rPr>
        <w:t>人民法院根据需要，在交通运输、医疗保障、卫生健康、婚姻家庭、劳动人事、消费者权益保护、农村土地承包、建筑工程、物业管理、生态环境保护以及其他纠纷多发领域，建立一站式化解纠纷服务平台。</w:t>
      </w:r>
    </w:p>
    <w:p>
      <w:pPr>
        <w:pStyle w:val="Normal"/>
        <w:spacing w:lineRule="exact" w:line="560"/>
        <w:ind w:firstLineChars="200" w:startChars="0" w:start="0" w:endChars="0" w:end="0"/>
        <w:rPr>
          <w:rFonts w:hint="eastAsia"/>
        </w:rPr>
      </w:pPr>
      <w:r>
        <w:rPr>
          <w:rFonts w:hint="eastAsia" w:eastAsia="黑体"/>
        </w:rPr>
        <w:t xml:space="preserve">第四十四条  </w:t>
      </w:r>
      <w:r>
        <w:rPr>
          <w:rFonts w:hint="eastAsia"/>
        </w:rPr>
        <w:t>各级人民政府和有关部门、人民法院、人民检察院应当加强信息化建设，推进大数据运用，完善信息共享平台，实现在线咨询、协商、调解、监督以及联网核查，促进多元化解纠纷工作的信息化发展。</w:t>
      </w:r>
    </w:p>
    <w:p>
      <w:pPr>
        <w:pStyle w:val="Normal"/>
        <w:spacing w:lineRule="exact" w:line="560"/>
        <w:ind w:firstLineChars="200" w:startChars="0" w:start="0" w:endChars="0" w:end="0"/>
        <w:rPr>
          <w:rFonts w:hint="eastAsia"/>
        </w:rPr>
      </w:pPr>
      <w:r>
        <w:rPr>
          <w:rFonts w:hint="eastAsia" w:eastAsia="黑体"/>
        </w:rPr>
        <w:t xml:space="preserve">第四十五条 </w:t>
      </w:r>
      <w:r>
        <w:rPr>
          <w:rFonts w:hint="eastAsia"/>
        </w:rPr>
        <w:t xml:space="preserve"> 有关国家机关、群团组织和其他社会组织应当完善调解员培训机制，定期组织培训，提高其职业道德水平和业务能力，推动调解员专业化建设。</w:t>
      </w:r>
    </w:p>
    <w:p>
      <w:pPr>
        <w:pStyle w:val="Normal"/>
        <w:spacing w:lineRule="exact" w:line="560"/>
        <w:ind w:firstLineChars="200" w:startChars="0" w:start="0" w:endChars="0" w:end="0"/>
        <w:rPr>
          <w:rFonts w:hint="eastAsia"/>
        </w:rPr>
      </w:pPr>
      <w:r>
        <w:rPr>
          <w:rFonts w:hint="eastAsia"/>
        </w:rPr>
        <w:t>鼓励高等院校或者职业教育学校开设多元化解纠纷培训课程，培养专业化的调解人才。鼓励社会力量开办调解人员培训机构，成立调解工作志愿者队伍，为化解纠纷提供人才储备。</w:t>
      </w:r>
    </w:p>
    <w:p>
      <w:pPr>
        <w:pStyle w:val="Normal"/>
        <w:spacing w:lineRule="exact" w:line="560"/>
        <w:jc w:val="center"/>
        <w:rPr>
          <w:rFonts w:hint="eastAsia"/>
        </w:rPr>
      </w:pPr>
      <w:r>
        <w:rPr>
          <w:rFonts w:hint="eastAsia"/>
        </w:rPr>
      </w:r>
    </w:p>
    <w:p>
      <w:pPr>
        <w:pStyle w:val="Normal"/>
        <w:spacing w:lineRule="exact" w:line="560"/>
        <w:jc w:val="center"/>
        <w:rPr>
          <w:rFonts w:eastAsia="黑体" w:hint="eastAsia"/>
        </w:rPr>
      </w:pPr>
      <w:r>
        <w:rPr>
          <w:rFonts w:hint="eastAsia" w:eastAsia="黑体"/>
        </w:rPr>
        <w:t>第五章  监督管理</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ind w:firstLineChars="200" w:startChars="0" w:start="0" w:endChars="0" w:end="0"/>
        <w:rPr>
          <w:rFonts w:hint="eastAsia"/>
          <w:color w:val="0000FF"/>
        </w:rPr>
      </w:pPr>
      <w:r>
        <w:rPr>
          <w:rFonts w:hint="eastAsia" w:eastAsia="黑体"/>
        </w:rPr>
        <w:t>第四十六条</w:t>
      </w:r>
      <w:r>
        <w:rPr>
          <w:rFonts w:hint="eastAsia"/>
        </w:rPr>
        <w:t xml:space="preserve">  各级人民政府和有关部门、人民法院、人民检察院应当制定和执行化解纠纷工作责任制度与奖惩机制。</w:t>
      </w:r>
    </w:p>
    <w:p>
      <w:pPr>
        <w:pStyle w:val="Normal"/>
        <w:spacing w:lineRule="exact" w:line="560"/>
        <w:ind w:firstLineChars="200" w:startChars="0" w:start="0" w:endChars="0" w:end="0"/>
        <w:rPr>
          <w:rFonts w:hint="eastAsia"/>
        </w:rPr>
      </w:pPr>
      <w:r>
        <w:rPr>
          <w:rFonts w:hint="eastAsia" w:eastAsia="黑体"/>
        </w:rPr>
        <w:t>第四十七条</w:t>
      </w:r>
      <w:r>
        <w:rPr>
          <w:rFonts w:hint="eastAsia"/>
        </w:rPr>
        <w:t xml:space="preserve">  各级人民政府应当将多元化解纠纷工作纳入年度工作考核。</w:t>
      </w:r>
    </w:p>
    <w:p>
      <w:pPr>
        <w:pStyle w:val="Normal"/>
        <w:spacing w:lineRule="exact" w:line="560"/>
        <w:ind w:firstLineChars="200" w:startChars="0" w:start="0" w:endChars="0" w:end="0"/>
        <w:rPr>
          <w:rFonts w:hint="eastAsia"/>
        </w:rPr>
      </w:pPr>
      <w:r>
        <w:rPr>
          <w:rFonts w:hint="eastAsia"/>
        </w:rPr>
        <w:t>各级综治统筹协调部门对化解纠纷成绩显著的单位和个人按照有关规定给予表彰奖励；对未按规定履行职责，导致发生影响社会稳定事件的单位和个人，按照有关规定追究责任。</w:t>
      </w:r>
    </w:p>
    <w:p>
      <w:pPr>
        <w:pStyle w:val="Normal"/>
        <w:spacing w:lineRule="exact" w:line="560"/>
        <w:ind w:firstLineChars="200" w:startChars="0" w:start="0" w:endChars="0" w:end="0"/>
        <w:rPr>
          <w:rFonts w:cs="宋体" w:hint="eastAsia"/>
          <w:color w:val="000000"/>
          <w:shd w:fill="B2B2B2" w:val="clear"/>
        </w:rPr>
      </w:pPr>
      <w:r>
        <w:rPr>
          <w:rFonts w:hint="eastAsia" w:eastAsia="黑体"/>
        </w:rPr>
        <w:t xml:space="preserve">第四十八条  </w:t>
      </w:r>
      <w:r>
        <w:rPr>
          <w:rFonts w:hint="eastAsia"/>
        </w:rPr>
        <w:t>司法行政部门和有关行业主管部门应当建立健全调解组织名册和调解员名册管理制度，加强对调解组织和调解员的监督管理。</w:t>
      </w:r>
    </w:p>
    <w:p>
      <w:pPr>
        <w:pStyle w:val="Normal"/>
        <w:spacing w:lineRule="exact" w:line="560"/>
        <w:ind w:firstLineChars="200" w:startChars="0" w:start="0" w:endChars="0" w:end="0"/>
        <w:rPr>
          <w:rFonts w:hint="eastAsia"/>
          <w:color w:val="0000FF"/>
        </w:rPr>
      </w:pPr>
      <w:r>
        <w:rPr>
          <w:rFonts w:hint="eastAsia" w:eastAsia="黑体"/>
        </w:rPr>
        <w:t>第四十九条</w:t>
      </w:r>
      <w:r>
        <w:rPr>
          <w:rFonts w:hint="eastAsia"/>
        </w:rPr>
        <w:t xml:space="preserve">  有关国家机关、群团组织和基层群众性自治组织未履行本条例规定职责的，由有关主管机关或者监察机关责令限期改正；拒不改正、情节严重或者造成严重后果的，依法追究有关责任人的责任。</w:t>
      </w:r>
    </w:p>
    <w:p>
      <w:pPr>
        <w:pStyle w:val="Normal"/>
        <w:spacing w:lineRule="exact" w:line="560"/>
        <w:ind w:firstLineChars="200" w:startChars="0" w:start="0" w:endChars="0" w:end="0"/>
        <w:rPr>
          <w:rFonts w:hint="eastAsia"/>
        </w:rPr>
      </w:pPr>
      <w:r>
        <w:rPr>
          <w:rFonts w:hint="eastAsia" w:eastAsia="黑体"/>
        </w:rPr>
        <w:t>第五十条</w:t>
      </w:r>
      <w:r>
        <w:rPr>
          <w:rFonts w:hint="eastAsia"/>
        </w:rPr>
        <w:t xml:space="preserve">  调解人员在调解工作中有下列行为之一的，由其主管部门或者所在的调解组织给予批评教育、责令改正；情节严重的，由推选或者聘任单位予以免职或者解聘；造成严重后果的，依法追究其相关法律责任</w:t>
      </w:r>
      <w:r>
        <w:rPr>
          <w:rFonts w:hint="eastAsia"/>
        </w:rPr>
        <w:t>:</w:t>
      </w:r>
    </w:p>
    <w:p>
      <w:pPr>
        <w:pStyle w:val="Normal"/>
        <w:spacing w:lineRule="exact" w:line="560"/>
        <w:ind w:firstLineChars="200" w:startChars="0" w:start="0" w:endChars="0" w:end="0"/>
        <w:rPr>
          <w:rFonts w:hint="eastAsia"/>
        </w:rPr>
      </w:pPr>
      <w:r>
        <w:rPr>
          <w:rFonts w:hint="eastAsia"/>
        </w:rPr>
        <w:t>（一）偏袒一方当事人的；</w:t>
      </w:r>
    </w:p>
    <w:p>
      <w:pPr>
        <w:pStyle w:val="Normal"/>
        <w:spacing w:lineRule="exact" w:line="560"/>
        <w:ind w:firstLineChars="200" w:startChars="0" w:start="0" w:endChars="0" w:end="0"/>
        <w:rPr>
          <w:rFonts w:hint="eastAsia"/>
        </w:rPr>
      </w:pPr>
      <w:r>
        <w:rPr>
          <w:rFonts w:hint="eastAsia"/>
        </w:rPr>
        <w:t>（二）侮辱、恐吓当事人的</w:t>
      </w:r>
      <w:r>
        <w:rPr>
          <w:rFonts w:hint="eastAsia"/>
        </w:rPr>
        <w:t>;</w:t>
      </w:r>
    </w:p>
    <w:p>
      <w:pPr>
        <w:pStyle w:val="Normal"/>
        <w:spacing w:lineRule="exact" w:line="560"/>
        <w:ind w:firstLineChars="200" w:startChars="0" w:start="0" w:endChars="0" w:end="0"/>
        <w:rPr>
          <w:rFonts w:hint="eastAsia"/>
        </w:rPr>
      </w:pPr>
      <w:r>
        <w:rPr>
          <w:rFonts w:hint="eastAsia"/>
        </w:rPr>
        <w:t>（三）收受、索取当事人财物或者牟取其他不正当利益的</w:t>
      </w:r>
      <w:r>
        <w:rPr>
          <w:rFonts w:hint="eastAsia"/>
        </w:rPr>
        <w:t>;</w:t>
      </w:r>
    </w:p>
    <w:p>
      <w:pPr>
        <w:pStyle w:val="Normal"/>
        <w:spacing w:lineRule="exact" w:line="560"/>
        <w:ind w:firstLineChars="200" w:startChars="0" w:start="0" w:endChars="0" w:end="0"/>
        <w:rPr>
          <w:rFonts w:hint="eastAsia"/>
        </w:rPr>
      </w:pPr>
      <w:r>
        <w:rPr>
          <w:rFonts w:hint="eastAsia"/>
        </w:rPr>
        <w:t>（四）泄露国家秘密、商业秘密和当事人个人隐私的</w:t>
      </w:r>
      <w:r>
        <w:rPr>
          <w:rFonts w:hint="eastAsia"/>
        </w:rPr>
        <w:t>;</w:t>
      </w:r>
    </w:p>
    <w:p>
      <w:pPr>
        <w:pStyle w:val="Normal"/>
        <w:spacing w:lineRule="exact" w:line="560"/>
        <w:ind w:firstLineChars="200" w:startChars="0" w:start="0" w:endChars="0" w:end="0"/>
        <w:rPr>
          <w:rFonts w:hint="eastAsia"/>
        </w:rPr>
      </w:pPr>
      <w:r>
        <w:rPr>
          <w:rFonts w:hint="eastAsia"/>
        </w:rPr>
        <w:t>（五）依法应当回避而未回避的</w:t>
      </w:r>
      <w:r>
        <w:rPr>
          <w:rFonts w:hint="eastAsia"/>
        </w:rPr>
        <w:t>;</w:t>
      </w:r>
    </w:p>
    <w:p>
      <w:pPr>
        <w:pStyle w:val="Normal"/>
        <w:spacing w:lineRule="exact" w:line="560"/>
        <w:ind w:firstLineChars="200" w:startChars="0" w:start="0" w:endChars="0" w:end="0"/>
        <w:rPr>
          <w:rFonts w:hint="eastAsia"/>
        </w:rPr>
      </w:pPr>
      <w:r>
        <w:rPr>
          <w:rFonts w:hint="eastAsia"/>
        </w:rPr>
        <w:t>（六）属于调解范围，无正当理由拒不调解的</w:t>
      </w:r>
      <w:r>
        <w:rPr>
          <w:rFonts w:hint="eastAsia"/>
        </w:rPr>
        <w:t>;</w:t>
      </w:r>
    </w:p>
    <w:p>
      <w:pPr>
        <w:pStyle w:val="Normal"/>
        <w:spacing w:lineRule="exact" w:line="560"/>
        <w:ind w:firstLineChars="200" w:startChars="0" w:start="0" w:endChars="0" w:end="0"/>
        <w:rPr>
          <w:rFonts w:hint="eastAsia"/>
          <w:color w:val="0000FF"/>
        </w:rPr>
      </w:pPr>
      <w:r>
        <w:rPr>
          <w:rFonts w:hint="eastAsia"/>
        </w:rPr>
        <w:t>（七）其他违反职业道德的行为。</w:t>
      </w:r>
    </w:p>
    <w:p>
      <w:pPr>
        <w:pStyle w:val="Normal"/>
        <w:spacing w:lineRule="exact" w:line="560"/>
        <w:ind w:firstLineChars="200" w:startChars="0" w:start="0" w:endChars="0" w:end="0"/>
        <w:rPr>
          <w:rFonts w:cs="宋体" w:hint="eastAsia"/>
          <w:color w:val="000000"/>
          <w:shd w:fill="B2B2B2" w:val="clear"/>
        </w:rPr>
      </w:pPr>
      <w:r>
        <w:rPr>
          <w:rFonts w:hint="eastAsia" w:eastAsia="黑体"/>
        </w:rPr>
        <w:t xml:space="preserve">第五十一条  </w:t>
      </w:r>
      <w:r>
        <w:rPr>
          <w:rFonts w:hint="eastAsia"/>
        </w:rPr>
        <w:t>违反本条例的行为，法律法规对责任追究已有规定的，从其规定。</w:t>
      </w:r>
    </w:p>
    <w:p>
      <w:pPr>
        <w:pStyle w:val="Normal"/>
        <w:spacing w:lineRule="exact" w:line="560"/>
        <w:jc w:val="center"/>
        <w:rPr>
          <w:rFonts w:eastAsia="黑体" w:cs="宋体" w:hint="eastAsia"/>
          <w:color w:val="000000"/>
          <w:shd w:fill="B2B2B2" w:val="clear"/>
        </w:rPr>
      </w:pPr>
      <w:r>
        <w:rPr>
          <w:rFonts w:eastAsia="黑体" w:cs="宋体" w:hint="eastAsia"/>
          <w:color w:val="000000"/>
          <w:shd w:fill="B2B2B2" w:val="clear"/>
        </w:rPr>
      </w:r>
    </w:p>
    <w:p>
      <w:pPr>
        <w:pStyle w:val="Normal"/>
        <w:spacing w:lineRule="exact" w:line="560"/>
        <w:jc w:val="center"/>
        <w:rPr>
          <w:rFonts w:eastAsia="黑体" w:hint="eastAsia"/>
        </w:rPr>
      </w:pPr>
      <w:r>
        <w:rPr>
          <w:rFonts w:eastAsia="黑体" w:hint="eastAsia"/>
        </w:rPr>
      </w:r>
    </w:p>
    <w:p>
      <w:pPr>
        <w:pStyle w:val="Normal"/>
        <w:spacing w:lineRule="exact" w:line="560"/>
        <w:jc w:val="center"/>
        <w:rPr>
          <w:rFonts w:eastAsia="黑体" w:hint="eastAsia"/>
        </w:rPr>
      </w:pPr>
      <w:r>
        <w:rPr>
          <w:rFonts w:hint="eastAsia" w:eastAsia="黑体"/>
        </w:rPr>
        <w:t>第六章  附    则</w:t>
      </w:r>
    </w:p>
    <w:p>
      <w:pPr>
        <w:pStyle w:val="Normal"/>
        <w:spacing w:lineRule="exact" w:line="560"/>
        <w:ind w:firstLineChars="200" w:startChars="0" w:start="0" w:endChars="0" w:end="0"/>
        <w:rPr>
          <w:rFonts w:eastAsia="黑体" w:hint="eastAsia"/>
        </w:rPr>
      </w:pPr>
      <w:r>
        <w:rPr>
          <w:rFonts w:eastAsia="黑体" w:hint="eastAsia"/>
        </w:rPr>
      </w:r>
    </w:p>
    <w:p>
      <w:pPr>
        <w:pStyle w:val="Normal"/>
        <w:spacing w:lineRule="exact" w:line="560"/>
        <w:rPr>
          <w:rFonts w:hint="eastAsia"/>
        </w:rPr>
      </w:pPr>
      <w:r>
        <w:rPr>
          <w:rFonts w:eastAsia="黑体" w:hint="eastAsia"/>
        </w:rPr>
        <w:t xml:space="preserve">    </w:t>
      </w:r>
      <w:r>
        <w:rPr>
          <w:rFonts w:hint="eastAsia" w:eastAsia="黑体"/>
        </w:rPr>
        <w:t>第五十二条</w:t>
      </w:r>
      <w:r>
        <w:rPr>
          <w:rFonts w:hint="eastAsia"/>
        </w:rPr>
        <w:t xml:space="preserve">  本条例自</w:t>
      </w:r>
      <w:r>
        <w:rPr/>
        <w:t>2019</w:t>
      </w:r>
      <w:r>
        <w:rPr/>
        <w:t>年</w:t>
      </w:r>
      <w:r>
        <w:rPr/>
        <w:t>1</w:t>
      </w:r>
      <w:r>
        <w:rPr/>
        <w:t>月</w:t>
      </w:r>
      <w:r>
        <w:rPr/>
        <w:t>1</w:t>
      </w:r>
      <w:r>
        <w:rPr>
          <w:rFonts w:hint="eastAsia"/>
        </w:rPr>
        <w:t>日起施行。</w:t>
      </w:r>
    </w:p>
    <w:p>
      <w:pPr>
        <w:pStyle w:val="Normal"/>
        <w:rPr>
          <w:rFonts w:hint="eastAsia"/>
          <w:szCs w:val="28"/>
        </w:rPr>
      </w:pPr>
      <w:r>
        <w:rPr>
          <w:rFonts w:hint="eastAsia"/>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Strong">
    <w:name w:val="Strong"/>
    <w:basedOn w:val="Style14"/>
    <w:qFormat/>
    <w:rPr>
      <w:rFonts w:cs="Times New Roman"/>
      <w:b/>
      <w:bCs/>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Style16">
    <w:name w:val="文档结构图"/>
    <w:basedOn w:val="Normal"/>
    <w:qFormat/>
    <w:pPr>
      <w:shd w:fill="000080" w:val="clear"/>
    </w:pPr>
    <w:rPr/>
  </w:style>
  <w:style w:type="paragraph" w:styleId="2">
    <w:name w:val="正文文本 2"/>
    <w:basedOn w:val="Normal"/>
    <w:qFormat/>
    <w:pPr>
      <w:spacing w:lineRule="auto" w:line="480" w:before="0" w:after="120"/>
    </w:pPr>
    <w:rPr>
      <w:rFonts w:eastAsia="宋体"/>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p0">
    <w:name w:val="p0"/>
    <w:basedOn w:val="Normal"/>
    <w:qFormat/>
    <w:pPr>
      <w:widowControl/>
    </w:pPr>
    <w:rPr>
      <w:rFonts w:eastAsia="宋体"/>
      <w:kern w:val="0"/>
      <w:sz w:val="21"/>
      <w:szCs w:val="21"/>
    </w:rPr>
  </w:style>
  <w:style w:type="paragraph" w:styleId="Char1">
    <w:name w:val=" Char"/>
    <w:basedOn w:val="Style16"/>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NormalIndent">
    <w:name w:val="Normal Indent"/>
    <w:basedOn w:val="Normal"/>
    <w:qFormat/>
    <w:pPr>
      <w:ind w:firstLine="630" w:start="0" w:end="0"/>
    </w:pPr>
    <w:rPr>
      <w:kern w:val="0"/>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2018-11-26T10:31:00Z</dcterms:created>
  <dc:creator>ch</dc:creator>
  <dc:description/>
  <dc:language>en-US</dc:language>
  <cp:lastModifiedBy>川人张</cp:lastModifiedBy>
  <cp:lastPrinted>2018-11-23T16:25:00Z</cp:lastPrinted>
  <dcterms:modified xsi:type="dcterms:W3CDTF">2018-11-27T09:17:40Z</dcterms:modified>
  <cp:revision>8</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