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方正小标宋简体" w:hAnsi="方正小标宋简体" w:eastAsia="方正小标宋简体" w:cs="宋体;SimSun" w:hint="eastAsia"/>
          <w:color w:val="000000"/>
          <w:szCs w:val="32"/>
        </w:rPr>
      </w:pPr>
      <w:r>
        <w:rPr>
          <w:rFonts w:eastAsia="方正小标宋简体" w:cs="宋体;SimSun" w:hint="eastAsia" w:ascii="方正小标宋简体" w:hAnsi="方正小标宋简体"/>
          <w:color w:val="000000"/>
          <w:szCs w:val="32"/>
        </w:rPr>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ascii="方正小标宋简体" w:hAnsi="方正小标宋简体" w:cs="宋体;SimSun" w:hint="eastAsia" w:eastAsia="方正小标宋简体"/>
          <w:color w:val="000000"/>
          <w:sz w:val="44"/>
          <w:szCs w:val="36"/>
        </w:rPr>
        <w:t>安徽省人民代表大会常务委员会</w:t>
      </w:r>
    </w:p>
    <w:p>
      <w:pPr>
        <w:pStyle w:val="Normal"/>
        <w:spacing w:lineRule="exact" w:line="680"/>
        <w:jc w:val="center"/>
        <w:rPr/>
      </w:pPr>
      <w:r>
        <w:rPr>
          <w:rFonts w:ascii="方正小标宋简体" w:hAnsi="方正小标宋简体" w:cs="宋体;SimSun" w:hint="eastAsia" w:eastAsia="方正小标宋简体"/>
          <w:color w:val="000000"/>
          <w:sz w:val="44"/>
          <w:szCs w:val="36"/>
        </w:rPr>
        <w:t>关于批准</w:t>
      </w:r>
      <w:r>
        <w:rPr>
          <w:rFonts w:ascii="方正小标宋简体" w:hAnsi="方正小标宋简体" w:hint="eastAsia" w:eastAsia="方正小标宋简体"/>
          <w:color w:val="000000"/>
          <w:sz w:val="44"/>
        </w:rPr>
        <w:t>《</w:t>
      </w:r>
      <w:r>
        <w:rPr>
          <w:rFonts w:hint="eastAsia" w:eastAsia="方正小标宋简体"/>
          <w:color w:val="000000"/>
          <w:sz w:val="44"/>
        </w:rPr>
        <w:t>宿州市采石场修复</w:t>
      </w:r>
      <w:r>
        <w:rPr>
          <w:rFonts w:eastAsia="方正小标宋简体"/>
          <w:color w:val="000000"/>
          <w:sz w:val="44"/>
        </w:rPr>
        <w:t>条例</w:t>
      </w:r>
      <w:r>
        <w:rPr>
          <w:rFonts w:ascii="方正小标宋简体" w:hAnsi="方正小标宋简体" w:hint="eastAsia" w:eastAsia="方正小标宋简体"/>
          <w:color w:val="000000"/>
          <w:sz w:val="44"/>
        </w:rPr>
        <w:t>》</w:t>
      </w:r>
      <w:r>
        <w:rPr>
          <w:rFonts w:ascii="方正小标宋简体" w:hAnsi="方正小标宋简体" w:cs="宋体;SimSun" w:hint="eastAsia" w:eastAsia="方正小标宋简体"/>
          <w:color w:val="000000"/>
          <w:sz w:val="44"/>
          <w:szCs w:val="36"/>
        </w:rPr>
        <w:t>的决议</w:t>
      </w:r>
    </w:p>
    <w:p>
      <w:pPr>
        <w:pStyle w:val="Normal"/>
        <w:jc w:val="center"/>
        <w:rPr>
          <w:rFonts w:ascii="方正小标宋简体" w:hAnsi="方正小标宋简体" w:eastAsia="方正小标宋简体" w:cs="宋体;SimSun" w:hint="eastAsia"/>
          <w:color w:val="000000"/>
          <w:sz w:val="44"/>
          <w:szCs w:val="32"/>
        </w:rPr>
      </w:pPr>
      <w:r>
        <w:rPr>
          <w:rFonts w:eastAsia="方正小标宋简体" w:cs="宋体;SimSun" w:hint="eastAsia" w:ascii="方正小标宋简体" w:hAnsi="方正小标宋简体"/>
          <w:color w:val="000000"/>
          <w:sz w:val="44"/>
          <w:szCs w:val="32"/>
        </w:rPr>
      </w:r>
    </w:p>
    <w:p>
      <w:pPr>
        <w:pStyle w:val="Normal"/>
        <w:jc w:val="center"/>
        <w:rPr/>
      </w:pPr>
      <w:r>
        <w:rPr>
          <w:rFonts w:eastAsia="楷体_GB2312"/>
          <w:color w:val="000000"/>
          <w:szCs w:val="30"/>
        </w:rPr>
        <w:t>（</w:t>
      </w:r>
      <w:r>
        <w:rPr>
          <w:rFonts w:eastAsia="楷体_GB2312"/>
          <w:color w:val="000000"/>
          <w:szCs w:val="30"/>
        </w:rPr>
        <w:t>201</w:t>
      </w:r>
      <w:r>
        <w:rPr>
          <w:rFonts w:eastAsia="楷体_GB2312" w:hint="eastAsia"/>
          <w:color w:val="000000"/>
          <w:szCs w:val="30"/>
        </w:rPr>
        <w:t>7</w:t>
      </w:r>
      <w:r>
        <w:rPr>
          <w:rFonts w:eastAsia="楷体_GB2312"/>
          <w:color w:val="000000"/>
          <w:szCs w:val="30"/>
        </w:rPr>
        <w:t>年</w:t>
      </w:r>
      <w:r>
        <w:rPr>
          <w:rFonts w:eastAsia="楷体_GB2312" w:hint="eastAsia"/>
          <w:color w:val="000000"/>
          <w:szCs w:val="30"/>
        </w:rPr>
        <w:t>9</w:t>
      </w:r>
      <w:r>
        <w:rPr>
          <w:rFonts w:eastAsia="楷体_GB2312"/>
          <w:color w:val="000000"/>
          <w:szCs w:val="30"/>
        </w:rPr>
        <w:t>月</w:t>
      </w:r>
      <w:r>
        <w:rPr>
          <w:rFonts w:eastAsia="楷体_GB2312" w:hint="eastAsia"/>
          <w:color w:val="000000"/>
          <w:szCs w:val="30"/>
        </w:rPr>
        <w:t>29</w:t>
      </w:r>
      <w:r>
        <w:rPr>
          <w:rFonts w:eastAsia="楷体_GB2312"/>
          <w:color w:val="000000"/>
          <w:szCs w:val="30"/>
        </w:rPr>
        <w:t>日安徽省第十二届人民代表大会</w:t>
      </w:r>
    </w:p>
    <w:p>
      <w:pPr>
        <w:pStyle w:val="Normal"/>
        <w:jc w:val="center"/>
        <w:rPr>
          <w:rFonts w:eastAsia="楷体_GB2312"/>
          <w:color w:val="000000"/>
          <w:szCs w:val="30"/>
        </w:rPr>
      </w:pPr>
      <w:r>
        <w:rPr>
          <w:rFonts w:hint="eastAsia" w:eastAsia="楷体_GB2312"/>
          <w:color w:val="000000"/>
          <w:szCs w:val="30"/>
        </w:rPr>
        <w:t>常务委员会第四十次会议通过）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rFonts w:ascii="仿宋_GB2312" w:hAnsi="仿宋_GB2312"/>
          <w:color w:val="000000"/>
        </w:rPr>
        <w:t>安徽省第十</w:t>
      </w:r>
      <w:r>
        <w:rPr>
          <w:rFonts w:ascii="仿宋_GB2312" w:hAnsi="仿宋_GB2312" w:hint="eastAsia"/>
          <w:color w:val="000000"/>
        </w:rPr>
        <w:t>二</w:t>
      </w:r>
      <w:r>
        <w:rPr>
          <w:rFonts w:ascii="仿宋_GB2312" w:hAnsi="仿宋_GB2312"/>
          <w:color w:val="000000"/>
        </w:rPr>
        <w:t>届人民代表大会常务委员会第</w:t>
      </w:r>
      <w:r>
        <w:rPr>
          <w:rFonts w:ascii="仿宋_GB2312" w:hAnsi="仿宋_GB2312" w:hint="eastAsia"/>
          <w:color w:val="000000"/>
        </w:rPr>
        <w:t>四十</w:t>
      </w:r>
      <w:r>
        <w:rPr>
          <w:rFonts w:ascii="仿宋_GB2312" w:hAnsi="仿宋_GB2312"/>
          <w:color w:val="000000"/>
        </w:rPr>
        <w:t>次会议审查了</w:t>
      </w:r>
      <w:r>
        <w:rPr>
          <w:rFonts w:ascii="仿宋_GB2312" w:hAnsi="仿宋_GB2312" w:hint="eastAsia"/>
          <w:color w:val="000000"/>
        </w:rPr>
        <w:t>《宿州市采石场修复条例》</w:t>
      </w:r>
      <w:r>
        <w:rPr>
          <w:rFonts w:ascii="仿宋_GB2312" w:hAnsi="仿宋_GB2312"/>
          <w:color w:val="000000"/>
        </w:rPr>
        <w:t>，决定予以批准，由</w:t>
      </w:r>
      <w:r>
        <w:rPr>
          <w:rFonts w:ascii="仿宋_GB2312" w:hAnsi="仿宋_GB2312" w:hint="eastAsia"/>
          <w:color w:val="000000"/>
        </w:rPr>
        <w:t>宿州</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r>
        <w:br w:type="page"/>
      </w:r>
    </w:p>
    <w:p>
      <w:pPr>
        <w:pStyle w:val="Normal"/>
        <w:ind w:firstLineChars="200" w:startChars="0" w:start="0" w:endChars="0" w:end="0"/>
        <w:rPr>
          <w:rFonts w:hint="eastAsia"/>
          <w:bCs/>
          <w:color w:val="000000"/>
        </w:rPr>
      </w:pPr>
      <w:r>
        <w:rPr>
          <w:rFonts w:hint="eastAsia"/>
          <w:bCs/>
          <w:color w:val="000000"/>
        </w:rPr>
      </w:r>
    </w:p>
    <w:p>
      <w:pPr>
        <w:pStyle w:val="Normal"/>
        <w:spacing w:lineRule="exact" w:line="640"/>
        <w:jc w:val="center"/>
        <w:rPr>
          <w:rFonts w:ascii="方正小标宋简体" w:hAnsi="方正小标宋简体" w:eastAsia="方正小标宋简体" w:hint="eastAsia"/>
          <w:bCs/>
          <w:sz w:val="44"/>
          <w:szCs w:val="44"/>
        </w:rPr>
      </w:pPr>
      <w:r>
        <w:rPr>
          <w:rFonts w:ascii="方正小标宋简体" w:hAnsi="方正小标宋简体" w:hint="eastAsia" w:eastAsia="方正小标宋简体"/>
          <w:bCs/>
          <w:sz w:val="44"/>
          <w:szCs w:val="44"/>
        </w:rPr>
        <w:t>宿州市采石场修复条例</w:t>
      </w:r>
    </w:p>
    <w:p>
      <w:pPr>
        <w:pStyle w:val="Normal"/>
        <w:ind w:firstLineChars="200" w:startChars="0" w:start="0" w:endChars="0" w:end="0"/>
        <w:rPr>
          <w:rFonts w:ascii="方正小标宋简体" w:hAnsi="方正小标宋简体" w:eastAsia="方正小标宋简体" w:hint="eastAsia"/>
          <w:bCs/>
          <w:sz w:val="44"/>
          <w:szCs w:val="44"/>
        </w:rPr>
      </w:pPr>
      <w:r>
        <w:rPr>
          <w:rFonts w:eastAsia="方正小标宋简体" w:hint="eastAsia" w:ascii="方正小标宋简体" w:hAnsi="方正小标宋简体"/>
          <w:bCs/>
          <w:sz w:val="44"/>
          <w:szCs w:val="44"/>
        </w:rPr>
      </w:r>
    </w:p>
    <w:p>
      <w:pPr>
        <w:pStyle w:val="Normal"/>
        <w:ind w:firstLineChars="200" w:startChars="0" w:start="0" w:endChars="0" w:end="0"/>
        <w:rPr/>
      </w:pPr>
      <w:r>
        <w:rPr>
          <w:rFonts w:eastAsia="楷体_GB2312"/>
          <w:bCs/>
        </w:rPr>
        <w:t>（</w:t>
      </w:r>
      <w:r>
        <w:rPr>
          <w:rFonts w:eastAsia="楷体_GB2312"/>
          <w:bCs/>
        </w:rPr>
        <w:t>2017</w:t>
      </w:r>
      <w:r>
        <w:rPr>
          <w:rFonts w:eastAsia="楷体_GB2312"/>
          <w:bCs/>
        </w:rPr>
        <w:t>年</w:t>
      </w:r>
      <w:r>
        <w:rPr>
          <w:rFonts w:eastAsia="楷体_GB2312"/>
          <w:bCs/>
        </w:rPr>
        <w:t>7</w:t>
      </w:r>
      <w:r>
        <w:rPr>
          <w:rFonts w:eastAsia="楷体_GB2312"/>
          <w:bCs/>
        </w:rPr>
        <w:t>月</w:t>
      </w:r>
      <w:r>
        <w:rPr>
          <w:rFonts w:eastAsia="楷体_GB2312"/>
          <w:bCs/>
        </w:rPr>
        <w:t>26</w:t>
      </w:r>
      <w:r>
        <w:rPr>
          <w:rFonts w:eastAsia="楷体_GB2312"/>
          <w:bCs/>
        </w:rPr>
        <w:t>日宿州市第四届人民代表大会常务委员会第三十七次会议通过</w:t>
      </w:r>
      <w:r>
        <w:rPr>
          <w:rFonts w:hint="eastAsia" w:eastAsia="楷体_GB2312"/>
          <w:bCs/>
        </w:rPr>
        <w:t xml:space="preserve">  </w:t>
      </w:r>
      <w:r>
        <w:rPr>
          <w:rFonts w:eastAsia="楷体_GB2312" w:hint="eastAsia"/>
          <w:bCs/>
          <w:spacing w:val="-4"/>
        </w:rPr>
        <w:t>2017</w:t>
      </w:r>
      <w:r>
        <w:rPr>
          <w:rFonts w:hint="eastAsia" w:eastAsia="楷体_GB2312"/>
          <w:bCs/>
          <w:spacing w:val="-4"/>
        </w:rPr>
        <w:t>年</w:t>
      </w:r>
      <w:r>
        <w:rPr>
          <w:rFonts w:eastAsia="楷体_GB2312" w:hint="eastAsia"/>
          <w:bCs/>
          <w:spacing w:val="-4"/>
        </w:rPr>
        <w:t>9</w:t>
      </w:r>
      <w:r>
        <w:rPr>
          <w:rFonts w:hint="eastAsia" w:eastAsia="楷体_GB2312"/>
          <w:bCs/>
          <w:spacing w:val="-4"/>
        </w:rPr>
        <w:t>月</w:t>
      </w:r>
      <w:r>
        <w:rPr>
          <w:rFonts w:eastAsia="楷体_GB2312" w:hint="eastAsia"/>
          <w:bCs/>
          <w:spacing w:val="-4"/>
        </w:rPr>
        <w:t>29</w:t>
      </w:r>
      <w:r>
        <w:rPr>
          <w:rFonts w:hint="eastAsia" w:eastAsia="楷体_GB2312"/>
          <w:bCs/>
          <w:spacing w:val="-4"/>
        </w:rPr>
        <w:t>日安徽省第十二届人民代表大会常务委员会第四十次会议批准</w:t>
      </w:r>
      <w:r>
        <w:rPr>
          <w:rFonts w:eastAsia="楷体_GB2312"/>
          <w:bCs/>
        </w:rPr>
        <w:t>）</w:t>
      </w:r>
    </w:p>
    <w:p>
      <w:pPr>
        <w:pStyle w:val="Normal"/>
        <w:ind w:firstLineChars="200" w:startChars="0" w:start="0" w:endChars="0" w:end="0"/>
        <w:rPr>
          <w:rFonts w:eastAsia="楷体_GB2312"/>
          <w:bCs/>
        </w:rPr>
      </w:pPr>
      <w:r>
        <w:rPr>
          <w:rFonts w:eastAsia="楷体_GB2312"/>
          <w:bCs/>
        </w:rPr>
      </w:r>
    </w:p>
    <w:p>
      <w:pPr>
        <w:pStyle w:val="Normal"/>
        <w:ind w:firstLineChars="200" w:startChars="0" w:start="0" w:endChars="0" w:end="0"/>
        <w:rPr/>
      </w:pPr>
      <w:r>
        <w:rPr>
          <w:rFonts w:ascii="黑体;SimHei" w:hAnsi="黑体;SimHei" w:hint="eastAsia" w:eastAsia="黑体;SimHei"/>
          <w:bCs/>
        </w:rPr>
        <w:t>第一条</w:t>
      </w:r>
      <w:r>
        <w:rPr>
          <w:rFonts w:hint="eastAsia"/>
          <w:bCs/>
        </w:rPr>
        <w:t xml:space="preserve">  为了修复采石场环境，促进经济社会和环境的协调发展，根据有关法律、行政法规，结合本市实际，制定本条例。</w:t>
      </w:r>
    </w:p>
    <w:p>
      <w:pPr>
        <w:pStyle w:val="Normal"/>
        <w:ind w:firstLineChars="200" w:startChars="0" w:start="0" w:endChars="0" w:end="0"/>
        <w:rPr/>
      </w:pPr>
      <w:r>
        <w:rPr>
          <w:rFonts w:ascii="黑体;SimHei" w:hAnsi="黑体;SimHei" w:hint="eastAsia" w:eastAsia="黑体;SimHei"/>
          <w:bCs/>
        </w:rPr>
        <w:t>第二条</w:t>
      </w:r>
      <w:r>
        <w:rPr>
          <w:rFonts w:hint="eastAsia"/>
          <w:bCs/>
        </w:rPr>
        <w:t xml:space="preserve">  本条例适用于本市行政区域内的采石场修复活动。</w:t>
      </w:r>
    </w:p>
    <w:p>
      <w:pPr>
        <w:pStyle w:val="Normal"/>
        <w:ind w:firstLineChars="200" w:startChars="0" w:start="0" w:endChars="0" w:end="0"/>
        <w:rPr>
          <w:rFonts w:hint="eastAsia"/>
          <w:bCs/>
        </w:rPr>
      </w:pPr>
      <w:r>
        <w:rPr>
          <w:rFonts w:hint="eastAsia"/>
          <w:bCs/>
        </w:rPr>
        <w:t>本条例所称采石场修复是指通过治理恢复措施，使因开采山石资源活动破坏的土地、山体的地质环境达到安全、美观、可利用的状态。</w:t>
      </w:r>
    </w:p>
    <w:p>
      <w:pPr>
        <w:pStyle w:val="Normal"/>
        <w:ind w:firstLineChars="200" w:startChars="0" w:start="0" w:endChars="0" w:end="0"/>
        <w:rPr/>
      </w:pPr>
      <w:r>
        <w:rPr>
          <w:rFonts w:ascii="黑体;SimHei" w:hAnsi="黑体;SimHei" w:hint="eastAsia" w:eastAsia="黑体;SimHei"/>
          <w:bCs/>
        </w:rPr>
        <w:t>第三条</w:t>
      </w:r>
      <w:r>
        <w:rPr>
          <w:rFonts w:hint="eastAsia"/>
          <w:bCs/>
        </w:rPr>
        <w:t xml:space="preserve">  采石场修复坚持谁破坏谁治理、因地制宜、节约实用、绿色协调的原则。</w:t>
      </w:r>
    </w:p>
    <w:p>
      <w:pPr>
        <w:pStyle w:val="Normal"/>
        <w:ind w:firstLineChars="200" w:startChars="0" w:start="0" w:endChars="0" w:end="0"/>
        <w:rPr/>
      </w:pPr>
      <w:r>
        <w:rPr>
          <w:rFonts w:ascii="黑体;SimHei" w:hAnsi="黑体;SimHei" w:hint="eastAsia" w:eastAsia="黑体;SimHei"/>
          <w:bCs/>
        </w:rPr>
        <w:t>第四条</w:t>
      </w:r>
      <w:r>
        <w:rPr>
          <w:rFonts w:hint="eastAsia"/>
          <w:bCs/>
        </w:rPr>
        <w:t xml:space="preserve">  市、县（区）人民政府国土资源行政主管部门负责本行政区域内采石场修复的监督管理工作。</w:t>
      </w:r>
    </w:p>
    <w:p>
      <w:pPr>
        <w:pStyle w:val="Normal"/>
        <w:ind w:firstLineChars="200" w:startChars="0" w:start="0" w:endChars="0" w:end="0"/>
        <w:rPr>
          <w:rFonts w:hint="eastAsia"/>
          <w:bCs/>
        </w:rPr>
      </w:pPr>
      <w:r>
        <w:rPr>
          <w:rFonts w:hint="eastAsia"/>
          <w:bCs/>
        </w:rPr>
        <w:t>经济和信息化、环境保护、安全生产、交通运输、公安、林业、城乡规划、住房和城乡建设、发展改革（物价）、财政、工商或者市场监督管理等有关部门在各自职责范围内，做好采石场修复的相关工作。</w:t>
      </w:r>
    </w:p>
    <w:p>
      <w:pPr>
        <w:pStyle w:val="Normal"/>
        <w:ind w:firstLineChars="200" w:startChars="0" w:start="0" w:endChars="0" w:end="0"/>
        <w:rPr/>
      </w:pPr>
      <w:r>
        <w:rPr>
          <w:rFonts w:ascii="黑体;SimHei" w:hAnsi="黑体;SimHei" w:hint="eastAsia" w:eastAsia="黑体;SimHei"/>
          <w:bCs/>
        </w:rPr>
        <w:t>第五条</w:t>
      </w:r>
      <w:r>
        <w:rPr>
          <w:rFonts w:hint="eastAsia"/>
          <w:bCs/>
        </w:rPr>
        <w:t xml:space="preserve">  市、县（区）人民政府国土资源行政主管部门应当编制本行政区域内的采石场修复规划，并制定年度修复计划，报本级人民政府批准后公布实施。采石场修复规划报上一级国土资源行政主管部门备案。</w:t>
      </w:r>
    </w:p>
    <w:p>
      <w:pPr>
        <w:pStyle w:val="Normal"/>
        <w:ind w:firstLineChars="200" w:startChars="0" w:start="0" w:endChars="0" w:end="0"/>
        <w:rPr>
          <w:rFonts w:hint="eastAsia"/>
          <w:bCs/>
        </w:rPr>
      </w:pPr>
      <w:r>
        <w:rPr>
          <w:rFonts w:hint="eastAsia"/>
          <w:bCs/>
        </w:rPr>
        <w:t>经批准的采石场修复规划不得擅自修改。确需修改的，应当报原批准机关批准。</w:t>
      </w:r>
    </w:p>
    <w:p>
      <w:pPr>
        <w:pStyle w:val="Normal"/>
        <w:ind w:firstLineChars="200" w:startChars="0" w:start="0" w:endChars="0" w:end="0"/>
        <w:rPr>
          <w:rFonts w:hint="eastAsia"/>
          <w:bCs/>
        </w:rPr>
      </w:pPr>
      <w:r>
        <w:rPr>
          <w:rFonts w:hint="eastAsia"/>
          <w:bCs/>
        </w:rPr>
        <w:t>市、县（区）人民政府已经批准的矿山地质环境保护规划包括采石场修复内容的，国土资源行政主管部门可以不单独编制采石场修复规划。</w:t>
      </w:r>
    </w:p>
    <w:p>
      <w:pPr>
        <w:pStyle w:val="Normal"/>
        <w:ind w:firstLineChars="200" w:startChars="0" w:start="0" w:endChars="0" w:end="0"/>
        <w:rPr/>
      </w:pPr>
      <w:r>
        <w:rPr>
          <w:rFonts w:ascii="黑体;SimHei" w:hAnsi="黑体;SimHei" w:hint="eastAsia" w:eastAsia="黑体;SimHei"/>
          <w:bCs/>
        </w:rPr>
        <w:t>第六条</w:t>
      </w:r>
      <w:r>
        <w:rPr>
          <w:rFonts w:hint="eastAsia"/>
          <w:bCs/>
        </w:rPr>
        <w:t xml:space="preserve">  饮用水水源保护区、自然保护区、重要景观区、居民集中生活区周边的采石场和重要交通干线、河流湖泊直观可视范围内的采石场应当作为修复规划重点。对存在安全隐患的采石场应当优先进行安全隐患治理。</w:t>
      </w:r>
    </w:p>
    <w:p>
      <w:pPr>
        <w:pStyle w:val="Normal"/>
        <w:ind w:firstLineChars="200" w:startChars="0" w:start="0" w:endChars="0" w:end="0"/>
        <w:rPr/>
      </w:pPr>
      <w:r>
        <w:rPr>
          <w:rFonts w:ascii="黑体;SimHei" w:hAnsi="黑体;SimHei" w:hint="eastAsia" w:eastAsia="黑体;SimHei"/>
          <w:bCs/>
        </w:rPr>
        <w:t>第七条</w:t>
      </w:r>
      <w:r>
        <w:rPr>
          <w:rFonts w:hint="eastAsia"/>
          <w:bCs/>
        </w:rPr>
        <w:t xml:space="preserve">  采石场修复活动应当按照已经批准的修复方案进行。采石场修复方案由修复责任人或者组织修复责任人编制。</w:t>
      </w:r>
    </w:p>
    <w:p>
      <w:pPr>
        <w:pStyle w:val="Normal"/>
        <w:ind w:firstLineChars="200" w:startChars="0" w:start="0" w:endChars="0" w:end="0"/>
        <w:rPr>
          <w:rFonts w:hint="eastAsia"/>
          <w:bCs/>
        </w:rPr>
      </w:pPr>
      <w:r>
        <w:rPr>
          <w:rFonts w:hint="eastAsia"/>
          <w:bCs/>
        </w:rPr>
        <w:t>申请采矿许可证的，采矿权申请人应当编制采石场修复方案，报受理采矿权申请的国土资源行政主管部门审查批准。</w:t>
      </w:r>
    </w:p>
    <w:p>
      <w:pPr>
        <w:pStyle w:val="Normal"/>
        <w:ind w:firstLineChars="200" w:startChars="0" w:start="0" w:endChars="0" w:end="0"/>
        <w:rPr>
          <w:rFonts w:hint="eastAsia"/>
          <w:bCs/>
        </w:rPr>
      </w:pPr>
      <w:r>
        <w:rPr>
          <w:rFonts w:hint="eastAsia"/>
          <w:bCs/>
        </w:rPr>
        <w:t>在建和生产的采石场，采矿权人未编制采石场修复方案的，颁发采矿许可证的国土资源行政主管部门应当责令采矿权人限期编制；采矿权人扩大开采规模、变更矿区范围以及开采方式的，应当重新编制和报批采石场修复方案。</w:t>
      </w:r>
    </w:p>
    <w:p>
      <w:pPr>
        <w:pStyle w:val="Normal"/>
        <w:ind w:firstLineChars="200" w:startChars="0" w:start="0" w:endChars="0" w:end="0"/>
        <w:rPr>
          <w:rFonts w:hint="eastAsia"/>
          <w:bCs/>
        </w:rPr>
      </w:pPr>
      <w:r>
        <w:rPr>
          <w:rFonts w:hint="eastAsia"/>
          <w:bCs/>
        </w:rPr>
        <w:t>已经编制矿山地质环境保护与综合治理方案，且具备本条例第八条规定内容的，可以不单独编制采石场修复方案。</w:t>
      </w:r>
    </w:p>
    <w:p>
      <w:pPr>
        <w:pStyle w:val="Normal"/>
        <w:ind w:firstLineChars="200" w:startChars="0" w:start="0" w:endChars="0" w:end="0"/>
        <w:rPr/>
      </w:pPr>
      <w:r>
        <w:rPr>
          <w:rFonts w:ascii="黑体;SimHei" w:hAnsi="黑体;SimHei" w:hint="eastAsia" w:eastAsia="黑体;SimHei"/>
          <w:bCs/>
        </w:rPr>
        <w:t>第八条</w:t>
      </w:r>
      <w:r>
        <w:rPr>
          <w:rFonts w:hint="eastAsia"/>
          <w:bCs/>
        </w:rPr>
        <w:t xml:space="preserve">  采石场修复方案应当包括下列内容：</w:t>
      </w:r>
    </w:p>
    <w:p>
      <w:pPr>
        <w:pStyle w:val="Normal"/>
        <w:ind w:firstLineChars="200" w:startChars="0" w:start="0" w:endChars="0" w:end="0"/>
        <w:rPr>
          <w:rFonts w:hint="eastAsia"/>
          <w:bCs/>
        </w:rPr>
      </w:pPr>
      <w:r>
        <w:rPr>
          <w:rFonts w:hint="eastAsia"/>
          <w:bCs/>
        </w:rPr>
        <w:t>（一）</w:t>
      </w:r>
      <w:r>
        <w:rPr>
          <w:rFonts w:hint="eastAsia"/>
          <w:bCs/>
        </w:rPr>
        <w:tab/>
      </w:r>
      <w:r>
        <w:rPr>
          <w:rFonts w:hint="eastAsia"/>
          <w:bCs/>
        </w:rPr>
        <w:t>采石场所在矿山基本情况和地质环境现状；</w:t>
      </w:r>
    </w:p>
    <w:p>
      <w:pPr>
        <w:pStyle w:val="Normal"/>
        <w:ind w:firstLineChars="200" w:startChars="0" w:start="0" w:endChars="0" w:end="0"/>
        <w:rPr>
          <w:rFonts w:hint="eastAsia"/>
          <w:bCs/>
        </w:rPr>
      </w:pPr>
      <w:r>
        <w:rPr>
          <w:rFonts w:hint="eastAsia"/>
          <w:bCs/>
        </w:rPr>
        <w:t>（二）修复措施、期限和进度计划；</w:t>
      </w:r>
    </w:p>
    <w:p>
      <w:pPr>
        <w:pStyle w:val="Normal"/>
        <w:ind w:firstLineChars="200" w:startChars="0" w:start="0" w:endChars="0" w:end="0"/>
        <w:rPr>
          <w:rFonts w:hint="eastAsia"/>
          <w:bCs/>
        </w:rPr>
      </w:pPr>
      <w:r>
        <w:rPr>
          <w:rFonts w:hint="eastAsia"/>
          <w:bCs/>
        </w:rPr>
        <w:t>（三）采石场地质环境监测方案；</w:t>
      </w:r>
    </w:p>
    <w:p>
      <w:pPr>
        <w:pStyle w:val="Normal"/>
        <w:ind w:firstLineChars="200" w:startChars="0" w:start="0" w:endChars="0" w:end="0"/>
        <w:rPr>
          <w:rFonts w:hint="eastAsia"/>
          <w:bCs/>
        </w:rPr>
      </w:pPr>
      <w:r>
        <w:rPr>
          <w:rFonts w:hint="eastAsia"/>
          <w:bCs/>
        </w:rPr>
        <w:t>（四）修复工程经费概算；</w:t>
      </w:r>
    </w:p>
    <w:p>
      <w:pPr>
        <w:pStyle w:val="Normal"/>
        <w:ind w:firstLineChars="200" w:startChars="0" w:start="0" w:endChars="0" w:end="0"/>
        <w:rPr>
          <w:rFonts w:hint="eastAsia"/>
          <w:bCs/>
        </w:rPr>
      </w:pPr>
      <w:r>
        <w:rPr>
          <w:rFonts w:hint="eastAsia"/>
          <w:bCs/>
        </w:rPr>
        <w:t>（五）矿山地质环境治理恢复和保证金缴存承诺书，承诺缴存保证金总金额不得低于修复所需费用；</w:t>
      </w:r>
    </w:p>
    <w:p>
      <w:pPr>
        <w:pStyle w:val="Normal"/>
        <w:ind w:firstLineChars="200" w:startChars="0" w:start="0" w:endChars="0" w:end="0"/>
        <w:rPr>
          <w:rFonts w:hint="eastAsia"/>
          <w:bCs/>
        </w:rPr>
      </w:pPr>
      <w:r>
        <w:rPr>
          <w:rFonts w:hint="eastAsia"/>
          <w:bCs/>
        </w:rPr>
        <w:t>（六）法律、法规、规章规定的其他内容。</w:t>
      </w:r>
    </w:p>
    <w:p>
      <w:pPr>
        <w:pStyle w:val="Normal"/>
        <w:ind w:firstLineChars="200" w:startChars="0" w:start="0" w:endChars="0" w:end="0"/>
        <w:rPr/>
      </w:pPr>
      <w:r>
        <w:rPr>
          <w:rFonts w:ascii="黑体;SimHei" w:hAnsi="黑体;SimHei" w:hint="eastAsia" w:eastAsia="黑体;SimHei"/>
          <w:bCs/>
        </w:rPr>
        <w:t>第九条</w:t>
      </w:r>
      <w:r>
        <w:rPr>
          <w:rFonts w:hint="eastAsia"/>
          <w:bCs/>
        </w:rPr>
        <w:t xml:space="preserve">  在建采石场的修复工作应当与开采活动同步进行。</w:t>
      </w:r>
    </w:p>
    <w:p>
      <w:pPr>
        <w:pStyle w:val="Normal"/>
        <w:ind w:firstLineChars="200" w:startChars="0" w:start="0" w:endChars="0" w:end="0"/>
        <w:rPr>
          <w:rFonts w:hint="eastAsia"/>
          <w:bCs/>
        </w:rPr>
      </w:pPr>
      <w:r>
        <w:rPr>
          <w:rFonts w:hint="eastAsia"/>
          <w:bCs/>
        </w:rPr>
        <w:t>生产的采石场造成环境破坏的，由采矿权人修复。采矿权人不履行修复义务的，颁发采矿许可证的国土资源行政主管部门应当责令采矿权人限期修复；逾期不修复的，由颁发采矿许可证的国土资源行政主管部门组织修复。</w:t>
      </w:r>
    </w:p>
    <w:p>
      <w:pPr>
        <w:pStyle w:val="Normal"/>
        <w:ind w:firstLineChars="200" w:startChars="0" w:start="0" w:endChars="0" w:end="0"/>
        <w:rPr/>
      </w:pPr>
      <w:r>
        <w:rPr>
          <w:rFonts w:ascii="黑体;SimHei" w:hAnsi="黑体;SimHei" w:hint="eastAsia" w:eastAsia="黑体;SimHei"/>
          <w:bCs/>
        </w:rPr>
        <w:t>第十条</w:t>
      </w:r>
      <w:r>
        <w:rPr>
          <w:rFonts w:hint="eastAsia"/>
          <w:bCs/>
        </w:rPr>
        <w:t xml:space="preserve">  经依法批准关闭的采石场，仍需要修复的，由所在地县（区）人民政府负责修复。</w:t>
      </w:r>
    </w:p>
    <w:p>
      <w:pPr>
        <w:pStyle w:val="Normal"/>
        <w:ind w:firstLineChars="200" w:startChars="0" w:start="0" w:endChars="0" w:end="0"/>
        <w:rPr>
          <w:rFonts w:hint="eastAsia"/>
          <w:bCs/>
        </w:rPr>
      </w:pPr>
      <w:r>
        <w:rPr>
          <w:rFonts w:hint="eastAsia"/>
          <w:bCs/>
        </w:rPr>
        <w:t>采矿许可证有效期满，未经批准关闭且未修复的采石场，颁发采矿许可证的国土资源行政主管部门应当责令采矿权人限期修复；采矿权人逾期不履行修复义务的，由颁发采矿许可证的国土资源行政主管部门组织修复。</w:t>
      </w:r>
    </w:p>
    <w:p>
      <w:pPr>
        <w:pStyle w:val="Normal"/>
        <w:ind w:firstLineChars="200" w:startChars="0" w:start="0" w:endChars="0" w:end="0"/>
        <w:rPr>
          <w:rFonts w:hint="eastAsia"/>
          <w:bCs/>
        </w:rPr>
      </w:pPr>
      <w:r>
        <w:rPr>
          <w:rFonts w:hint="eastAsia"/>
          <w:bCs/>
        </w:rPr>
        <w:t>因违法行为被依法关闭的采石场，需要修复的，原颁发采矿许可证的国土资源行政主管部门应当责令原采矿权人限期修复；原采矿权人逾期不履行修复义务的，由原颁发采矿许可证的国土资源行政主管部门组织修复。</w:t>
      </w:r>
    </w:p>
    <w:p>
      <w:pPr>
        <w:pStyle w:val="Normal"/>
        <w:ind w:firstLineChars="200" w:startChars="0" w:start="0" w:endChars="0" w:end="0"/>
        <w:rPr>
          <w:rFonts w:hint="eastAsia"/>
          <w:bCs/>
        </w:rPr>
      </w:pPr>
      <w:r>
        <w:rPr>
          <w:rFonts w:hint="eastAsia"/>
          <w:bCs/>
        </w:rPr>
        <w:t>因政策调整，市、县（区）人民政府决定关闭的采石场，由决定关闭的市、县（区）人民政府负责修复；采矿权人有违法行为的，按照相关规定处理。</w:t>
      </w:r>
    </w:p>
    <w:p>
      <w:pPr>
        <w:pStyle w:val="Normal"/>
        <w:ind w:firstLineChars="200" w:startChars="0" w:start="0" w:endChars="0" w:end="0"/>
        <w:rPr/>
      </w:pPr>
      <w:r>
        <w:rPr>
          <w:rFonts w:ascii="黑体;SimHei" w:hAnsi="黑体;SimHei" w:hint="eastAsia" w:eastAsia="黑体;SimHei"/>
          <w:bCs/>
        </w:rPr>
        <w:t>第十一条</w:t>
      </w:r>
      <w:r>
        <w:rPr>
          <w:rFonts w:hint="eastAsia"/>
          <w:bCs/>
        </w:rPr>
        <w:t xml:space="preserve">  按照开采时的法律、法规需经批准而未经批准，擅自开采形成的采石场，由所在地县（区）人民政府国土资源行政主管部门责令开采行为人限期修复；开采行为人逾期不履行修复义务的，由所在地县（区）人民政府国土资源行政主管部门组织修复。</w:t>
      </w:r>
    </w:p>
    <w:p>
      <w:pPr>
        <w:pStyle w:val="Normal"/>
        <w:ind w:firstLineChars="200" w:startChars="0" w:start="0" w:endChars="0" w:end="0"/>
        <w:rPr/>
      </w:pPr>
      <w:r>
        <w:rPr>
          <w:rFonts w:ascii="黑体;SimHei" w:hAnsi="黑体;SimHei" w:hint="eastAsia" w:eastAsia="黑体;SimHei"/>
          <w:bCs/>
        </w:rPr>
        <w:t>第十二条</w:t>
      </w:r>
      <w:r>
        <w:rPr>
          <w:rFonts w:hint="eastAsia"/>
          <w:bCs/>
        </w:rPr>
        <w:t xml:space="preserve">  采矿权人、开采行为人灭失或者无法确定开采行为人的采石场，由所在地县（区）人民政府负责修复。</w:t>
      </w:r>
    </w:p>
    <w:p>
      <w:pPr>
        <w:pStyle w:val="Normal"/>
        <w:ind w:firstLineChars="200" w:startChars="0" w:start="0" w:endChars="0" w:end="0"/>
        <w:rPr/>
      </w:pPr>
      <w:r>
        <w:rPr>
          <w:rFonts w:ascii="黑体;SimHei" w:hAnsi="黑体;SimHei" w:hint="eastAsia" w:eastAsia="黑体;SimHei"/>
          <w:bCs/>
        </w:rPr>
        <w:t>第十三条</w:t>
      </w:r>
      <w:r>
        <w:rPr>
          <w:rFonts w:hint="eastAsia"/>
          <w:bCs/>
        </w:rPr>
        <w:t xml:space="preserve">  由采矿权人负责修复的采石场，修复费用由采矿权人支出，可列入生产成本。</w:t>
      </w:r>
    </w:p>
    <w:p>
      <w:pPr>
        <w:pStyle w:val="Normal"/>
        <w:ind w:firstLineChars="200" w:startChars="0" w:start="0" w:endChars="0" w:end="0"/>
        <w:rPr>
          <w:rFonts w:hint="eastAsia"/>
          <w:bCs/>
        </w:rPr>
      </w:pPr>
      <w:r>
        <w:rPr>
          <w:rFonts w:hint="eastAsia"/>
          <w:bCs/>
        </w:rPr>
        <w:t>由市、县（区）人民政府国土资源行政主管部门组织修复的采石场，有采矿权人的，修复费用从采矿权人缴存的矿山地质环境治理恢复保证金及利息中支出，不足部分向采矿权人追偿；无采矿权人的，修复费用向开采行为人追偿。</w:t>
      </w:r>
    </w:p>
    <w:p>
      <w:pPr>
        <w:pStyle w:val="Normal"/>
        <w:ind w:firstLineChars="200" w:startChars="0" w:start="0" w:endChars="0" w:end="0"/>
        <w:rPr>
          <w:rFonts w:hint="eastAsia"/>
          <w:bCs/>
        </w:rPr>
      </w:pPr>
      <w:r>
        <w:rPr>
          <w:rFonts w:hint="eastAsia"/>
          <w:bCs/>
        </w:rPr>
        <w:t>市、县（区）人民政府负责采石场修复的，应当将修复工作所需经费列入财政预算，并积极组织符合条件的采石场修复项目申报上级人民政府资金补助。市人民政府应当加大对县（区）人民政府采石场修复工作的资金支持。</w:t>
      </w:r>
    </w:p>
    <w:p>
      <w:pPr>
        <w:pStyle w:val="Normal"/>
        <w:ind w:firstLineChars="200" w:startChars="0" w:start="0" w:endChars="0" w:end="0"/>
        <w:rPr>
          <w:rFonts w:hint="eastAsia"/>
          <w:bCs/>
        </w:rPr>
      </w:pPr>
      <w:r>
        <w:rPr>
          <w:rFonts w:hint="eastAsia"/>
          <w:bCs/>
        </w:rPr>
        <w:t>采石场修复过程涉及的存量矿产资源，由市或者县（区）人民政府负责处置，收益优先用于采石场修复；修复过程涉及的土地资源，按照《中华人民共和国土地管理法》等法律、法规处理。</w:t>
      </w:r>
    </w:p>
    <w:p>
      <w:pPr>
        <w:pStyle w:val="Normal"/>
        <w:ind w:firstLineChars="200" w:startChars="0" w:start="0" w:endChars="0" w:end="0"/>
        <w:rPr/>
      </w:pPr>
      <w:r>
        <w:rPr>
          <w:rFonts w:ascii="黑体;SimHei" w:hAnsi="黑体;SimHei" w:hint="eastAsia" w:eastAsia="黑体;SimHei"/>
          <w:bCs/>
        </w:rPr>
        <w:t>第十四条</w:t>
      </w:r>
      <w:r>
        <w:rPr>
          <w:rFonts w:hint="eastAsia"/>
          <w:bCs/>
        </w:rPr>
        <w:t xml:space="preserve">  采石场修复不得低于下列标准：</w:t>
      </w:r>
    </w:p>
    <w:p>
      <w:pPr>
        <w:pStyle w:val="Normal"/>
        <w:ind w:firstLineChars="200" w:startChars="0" w:start="0" w:endChars="0" w:end="0"/>
        <w:rPr>
          <w:rFonts w:hint="eastAsia"/>
          <w:bCs/>
        </w:rPr>
      </w:pPr>
      <w:r>
        <w:rPr>
          <w:rFonts w:hint="eastAsia"/>
          <w:bCs/>
        </w:rPr>
        <w:t>（一）整修被损坏的道路及设施，使之符合相关技术和质量标准，达到安全、可利用状态；</w:t>
      </w:r>
    </w:p>
    <w:p>
      <w:pPr>
        <w:pStyle w:val="Normal"/>
        <w:ind w:firstLineChars="200" w:startChars="0" w:start="0" w:endChars="0" w:end="0"/>
        <w:rPr>
          <w:rFonts w:hint="eastAsia"/>
          <w:bCs/>
        </w:rPr>
      </w:pPr>
      <w:r>
        <w:rPr>
          <w:rFonts w:hint="eastAsia"/>
          <w:bCs/>
        </w:rPr>
        <w:t>（二）整治被破坏的土地，使之恢复到适宜种植、养殖或者其他可供利用的状态；</w:t>
      </w:r>
    </w:p>
    <w:p>
      <w:pPr>
        <w:pStyle w:val="Normal"/>
        <w:ind w:firstLineChars="200" w:startChars="0" w:start="0" w:endChars="0" w:end="0"/>
        <w:rPr>
          <w:rFonts w:hint="eastAsia"/>
          <w:bCs/>
        </w:rPr>
      </w:pPr>
      <w:r>
        <w:rPr>
          <w:rFonts w:hint="eastAsia"/>
          <w:bCs/>
        </w:rPr>
        <w:t>（三）整修露天采矿场、废石场的永久性坡面的边坡、断面，进行稳定化处理，消除安全隐患；</w:t>
      </w:r>
    </w:p>
    <w:p>
      <w:pPr>
        <w:pStyle w:val="Normal"/>
        <w:ind w:firstLineChars="200" w:startChars="0" w:start="0" w:endChars="0" w:end="0"/>
        <w:rPr/>
      </w:pPr>
      <w:r>
        <w:rPr>
          <w:rFonts w:hint="eastAsia"/>
          <w:bCs/>
        </w:rPr>
        <w:t>（四）</w:t>
      </w:r>
      <w:r>
        <w:rPr>
          <w:rFonts w:hint="eastAsia"/>
          <w:bCs/>
          <w:spacing w:val="-8"/>
        </w:rPr>
        <w:t>处置开采活动中产生的各类废弃物达到国家规定的标准；</w:t>
      </w:r>
    </w:p>
    <w:p>
      <w:pPr>
        <w:pStyle w:val="Normal"/>
        <w:ind w:firstLineChars="200" w:startChars="0" w:start="0" w:endChars="0" w:end="0"/>
        <w:rPr>
          <w:rFonts w:hint="eastAsia"/>
          <w:bCs/>
        </w:rPr>
      </w:pPr>
      <w:r>
        <w:rPr>
          <w:rFonts w:hint="eastAsia"/>
          <w:bCs/>
        </w:rPr>
        <w:t>（五）法律、法规、规章规定的其他标准。</w:t>
      </w:r>
    </w:p>
    <w:p>
      <w:pPr>
        <w:pStyle w:val="Normal"/>
        <w:ind w:firstLineChars="200" w:startChars="0" w:start="0" w:endChars="0" w:end="0"/>
        <w:rPr>
          <w:rFonts w:hint="eastAsia"/>
          <w:bCs/>
        </w:rPr>
      </w:pPr>
      <w:r>
        <w:rPr>
          <w:rFonts w:hint="eastAsia"/>
          <w:bCs/>
        </w:rPr>
        <w:t>采石场修复涉及饮用水水源保护区、自然保护区、重要景观区、历史文化保护区等区域的，应当符合相关法律、法规规定的标准。</w:t>
      </w:r>
    </w:p>
    <w:p>
      <w:pPr>
        <w:pStyle w:val="Normal"/>
        <w:ind w:firstLineChars="200" w:startChars="0" w:start="0" w:endChars="0" w:end="0"/>
        <w:rPr/>
      </w:pPr>
      <w:r>
        <w:rPr>
          <w:rFonts w:ascii="黑体;SimHei" w:hAnsi="黑体;SimHei" w:hint="eastAsia" w:eastAsia="黑体;SimHei"/>
          <w:bCs/>
        </w:rPr>
        <w:t>第十五条</w:t>
      </w:r>
      <w:r>
        <w:rPr>
          <w:rFonts w:hint="eastAsia"/>
          <w:bCs/>
        </w:rPr>
        <w:t xml:space="preserve">  市、县（区）人民政府可以建立政府主导、政策扶持、社会参与、开发式治理、市场化运作的采石场修复模式。</w:t>
      </w:r>
    </w:p>
    <w:p>
      <w:pPr>
        <w:pStyle w:val="Normal"/>
        <w:ind w:firstLineChars="200" w:startChars="0" w:start="0" w:endChars="0" w:end="0"/>
        <w:rPr>
          <w:rFonts w:hint="eastAsia"/>
          <w:bCs/>
        </w:rPr>
      </w:pPr>
      <w:r>
        <w:rPr>
          <w:rFonts w:hint="eastAsia"/>
          <w:bCs/>
        </w:rPr>
        <w:t>市、县（区）人民政府负责修复或者市、县（区）国土资源行政主管部门组织修复的采石场，应当通过招标等市场竞争方式确定修复工程实施主体。</w:t>
      </w:r>
    </w:p>
    <w:p>
      <w:pPr>
        <w:pStyle w:val="Normal"/>
        <w:ind w:firstLineChars="200" w:startChars="0" w:start="0" w:endChars="0" w:end="0"/>
        <w:rPr/>
      </w:pPr>
      <w:r>
        <w:rPr>
          <w:rFonts w:ascii="黑体;SimHei" w:hAnsi="黑体;SimHei" w:hint="eastAsia" w:eastAsia="黑体;SimHei"/>
          <w:bCs/>
        </w:rPr>
        <w:t>第十六条</w:t>
      </w:r>
      <w:r>
        <w:rPr>
          <w:rFonts w:hint="eastAsia"/>
          <w:bCs/>
        </w:rPr>
        <w:t xml:space="preserve">  采石场修复工程由市、县（区）人民政府国土资源行政主管部门按照有关规定组织验收。</w:t>
      </w:r>
    </w:p>
    <w:p>
      <w:pPr>
        <w:pStyle w:val="Normal"/>
        <w:ind w:firstLineChars="200" w:startChars="0" w:start="0" w:endChars="0" w:end="0"/>
        <w:rPr/>
      </w:pPr>
      <w:r>
        <w:rPr>
          <w:rFonts w:ascii="黑体;SimHei" w:hAnsi="黑体;SimHei" w:hint="eastAsia" w:eastAsia="黑体;SimHei"/>
          <w:bCs/>
        </w:rPr>
        <w:t>第十七条</w:t>
      </w:r>
      <w:r>
        <w:rPr>
          <w:rFonts w:hint="eastAsia"/>
          <w:bCs/>
        </w:rPr>
        <w:t xml:space="preserve">  市、县（区）人民政府国土资源行政主管部门应当建立本行政区域内采石场地质环境监测网络，对采石场地质环境实施动态监测，指导、监督采矿权人开展采石场地质环境监测，并将监测情况向社会公告。</w:t>
      </w:r>
    </w:p>
    <w:p>
      <w:pPr>
        <w:pStyle w:val="Normal"/>
        <w:ind w:firstLineChars="200" w:startChars="0" w:start="0" w:endChars="0" w:end="0"/>
        <w:rPr/>
      </w:pPr>
      <w:r>
        <w:rPr>
          <w:rFonts w:hint="eastAsia"/>
          <w:bCs/>
          <w:spacing w:val="-8"/>
        </w:rPr>
        <w:t>市、县（区）人民政府国土资源行政主管部门应当加强对采矿权人履行采石场地质环境保护和修复义务情况的监督检查，对</w:t>
      </w:r>
      <w:r>
        <w:rPr>
          <w:rFonts w:hint="eastAsia"/>
          <w:bCs/>
        </w:rPr>
        <w:t>违反本条例规定的行为，应当及时予以制止，并采取相应处理措施。</w:t>
      </w:r>
    </w:p>
    <w:p>
      <w:pPr>
        <w:pStyle w:val="Normal"/>
        <w:ind w:firstLineChars="200" w:startChars="0" w:start="0" w:endChars="0" w:end="0"/>
        <w:rPr/>
      </w:pPr>
      <w:r>
        <w:rPr>
          <w:rFonts w:ascii="黑体;SimHei" w:hAnsi="黑体;SimHei" w:hint="eastAsia" w:eastAsia="黑体;SimHei"/>
          <w:bCs/>
        </w:rPr>
        <w:t>第十八条</w:t>
      </w:r>
      <w:r>
        <w:rPr>
          <w:rFonts w:hint="eastAsia"/>
          <w:bCs/>
        </w:rPr>
        <w:t xml:space="preserve">  单位和个人对违反本条例规定的行为，有权向市、县（区）人民政府及其国土资源行政主管部门举报。国土资源行政主管部门应当建立举报制度，公布举报电话、信箱和电子邮件地址，及时受理举报并依法调查处理。调查处理的情况应当向举报的单位和个人通报。</w:t>
      </w:r>
    </w:p>
    <w:p>
      <w:pPr>
        <w:pStyle w:val="Normal"/>
        <w:ind w:firstLineChars="200" w:startChars="0" w:start="0" w:endChars="0" w:end="0"/>
        <w:rPr/>
      </w:pPr>
      <w:r>
        <w:rPr>
          <w:rFonts w:ascii="黑体;SimHei" w:hAnsi="黑体;SimHei" w:hint="eastAsia" w:eastAsia="黑体;SimHei"/>
          <w:bCs/>
        </w:rPr>
        <w:t>第十九条</w:t>
      </w:r>
      <w:r>
        <w:rPr>
          <w:rFonts w:hint="eastAsia"/>
          <w:bCs/>
        </w:rPr>
        <w:t xml:space="preserve">  不履行编制采石场修复方案义务的，按照以下规定处理：</w:t>
      </w:r>
    </w:p>
    <w:p>
      <w:pPr>
        <w:pStyle w:val="Normal"/>
        <w:ind w:firstLineChars="200" w:startChars="0" w:start="0" w:endChars="0" w:end="0"/>
        <w:rPr>
          <w:rFonts w:hint="eastAsia"/>
          <w:bCs/>
        </w:rPr>
      </w:pPr>
      <w:r>
        <w:rPr>
          <w:rFonts w:hint="eastAsia"/>
          <w:bCs/>
        </w:rPr>
        <w:t>（一）违反本条例第七条第二款规定，采矿权申请人未编制采石场修复方案，或者编制的采石场修复方案不符合要求的，由受理采矿权申请的国土资源行政主管部门责令限期改正；逾期不改正的，不予受理其采矿权申请。</w:t>
      </w:r>
    </w:p>
    <w:p>
      <w:pPr>
        <w:pStyle w:val="Normal"/>
        <w:ind w:firstLineChars="200" w:startChars="0" w:start="0" w:endChars="0" w:end="0"/>
        <w:rPr>
          <w:rFonts w:hint="eastAsia"/>
          <w:bCs/>
        </w:rPr>
      </w:pPr>
      <w:r>
        <w:rPr>
          <w:rFonts w:hint="eastAsia"/>
          <w:bCs/>
        </w:rPr>
        <w:t>（二）违反本条例第七条第三款规定，在建和生产的采石场，采矿权人逾期未编制采石场修复方案的，由颁发采矿许可证的国土资源行政主管部门处五万元以上十万元以下罚款。</w:t>
      </w:r>
    </w:p>
    <w:p>
      <w:pPr>
        <w:pStyle w:val="Normal"/>
        <w:ind w:firstLineChars="200" w:startChars="0" w:start="0" w:endChars="0" w:end="0"/>
        <w:rPr>
          <w:rFonts w:hint="eastAsia"/>
          <w:bCs/>
        </w:rPr>
      </w:pPr>
      <w:r>
        <w:rPr>
          <w:rFonts w:hint="eastAsia"/>
          <w:bCs/>
        </w:rPr>
        <w:t>（三）违反本条例第七条第三款规定，在建和生产的采石场扩大开采规模，未重新编制采石场修复方案或者编制的方案未经批准的，由颁发采矿许可证的国土资源行政主管部门责令采矿权人限期改正；逾期不改正的，处二万元以上五万元以下罚款。</w:t>
      </w:r>
    </w:p>
    <w:p>
      <w:pPr>
        <w:pStyle w:val="Normal"/>
        <w:ind w:firstLineChars="200" w:startChars="0" w:start="0" w:endChars="0" w:end="0"/>
        <w:rPr/>
      </w:pPr>
      <w:r>
        <w:rPr>
          <w:rFonts w:ascii="黑体;SimHei" w:hAnsi="黑体;SimHei" w:hint="eastAsia" w:eastAsia="黑体;SimHei"/>
          <w:bCs/>
        </w:rPr>
        <w:t>第二十条</w:t>
      </w:r>
      <w:r>
        <w:rPr>
          <w:rFonts w:hint="eastAsia"/>
          <w:bCs/>
        </w:rPr>
        <w:t xml:space="preserve">  采矿权人或者开采行为人不履行修复义务的，按照以下规定处罚：</w:t>
      </w:r>
    </w:p>
    <w:p>
      <w:pPr>
        <w:pStyle w:val="Normal"/>
        <w:ind w:firstLineChars="200" w:startChars="0" w:start="0" w:endChars="0" w:end="0"/>
        <w:rPr>
          <w:rFonts w:hint="eastAsia"/>
          <w:bCs/>
        </w:rPr>
      </w:pPr>
      <w:r>
        <w:rPr>
          <w:rFonts w:hint="eastAsia"/>
          <w:bCs/>
        </w:rPr>
        <w:t>（一）违反本条例第七条第一款、第九条第二款、第十条第二款规定，采矿权人逾期不修复或者不按照修复方案修复的，由颁发采矿许可证的国土资源行政主管部门责令停产整顿，并处十万元以上五十万元以下罚款。</w:t>
      </w:r>
    </w:p>
    <w:p>
      <w:pPr>
        <w:pStyle w:val="Normal"/>
        <w:ind w:firstLineChars="200" w:startChars="0" w:start="0" w:endChars="0" w:end="0"/>
        <w:rPr>
          <w:rFonts w:hint="eastAsia"/>
          <w:bCs/>
        </w:rPr>
      </w:pPr>
      <w:r>
        <w:rPr>
          <w:rFonts w:hint="eastAsia"/>
          <w:bCs/>
        </w:rPr>
        <w:t>（二）违反本条例第十条第三款规定，原采矿权人逾期不履行修复义务的，由原颁发采矿许可证的国土资源行政主管部门处十万元以上五十万元以下罚款。</w:t>
      </w:r>
    </w:p>
    <w:p>
      <w:pPr>
        <w:pStyle w:val="Normal"/>
        <w:ind w:firstLineChars="200" w:startChars="0" w:start="0" w:endChars="0" w:end="0"/>
        <w:rPr>
          <w:rFonts w:hint="eastAsia"/>
          <w:bCs/>
        </w:rPr>
      </w:pPr>
      <w:r>
        <w:rPr>
          <w:rFonts w:hint="eastAsia"/>
          <w:bCs/>
        </w:rPr>
        <w:t>（三）违反本条例第十一条规定，开采行为人逾期不履行修复义务的，由所在地县（区）人民政府国土资源行政主管部门处十万元以上五十万元以下罚款。</w:t>
      </w:r>
    </w:p>
    <w:p>
      <w:pPr>
        <w:pStyle w:val="Normal"/>
        <w:ind w:firstLineChars="200" w:startChars="0" w:start="0" w:endChars="0" w:end="0"/>
        <w:rPr/>
      </w:pPr>
      <w:r>
        <w:rPr>
          <w:rFonts w:ascii="黑体;SimHei" w:hAnsi="黑体;SimHei" w:hint="eastAsia" w:eastAsia="黑体;SimHei"/>
          <w:bCs/>
        </w:rPr>
        <w:t>第二十一条</w:t>
      </w:r>
      <w:r>
        <w:rPr>
          <w:rFonts w:hint="eastAsia"/>
          <w:bCs/>
        </w:rPr>
        <w:t xml:space="preserve">  市、县（区）人民政府国土资源行政主管部门及其工作人员在采石场修复监督管理工作中有下列行为之一的，对直接负责的主管人员和其他直接责任人员依法给予行政处分，并对单位负责人进行行政问责；涉嫌犯罪的，依法移交司法机关追究刑事责任：</w:t>
      </w:r>
    </w:p>
    <w:p>
      <w:pPr>
        <w:pStyle w:val="Normal"/>
        <w:ind w:firstLineChars="200" w:startChars="0" w:start="0" w:endChars="-50"/>
        <w:rPr/>
      </w:pPr>
      <w:r>
        <w:rPr>
          <w:rFonts w:hint="eastAsia"/>
          <w:bCs/>
        </w:rPr>
        <w:t>（一）</w:t>
      </w:r>
      <w:r>
        <w:rPr>
          <w:rFonts w:hint="eastAsia"/>
          <w:bCs/>
          <w:spacing w:val="-8"/>
        </w:rPr>
        <w:t>未按照规定编制采石场修复规划和制定年度修复计划的；</w:t>
      </w:r>
    </w:p>
    <w:p>
      <w:pPr>
        <w:pStyle w:val="Normal"/>
        <w:ind w:firstLineChars="200" w:startChars="0" w:start="0" w:endChars="0" w:end="0"/>
        <w:rPr>
          <w:rFonts w:hint="eastAsia"/>
          <w:bCs/>
        </w:rPr>
      </w:pPr>
      <w:r>
        <w:rPr>
          <w:rFonts w:hint="eastAsia"/>
          <w:bCs/>
        </w:rPr>
        <w:t>（二）未按照标准核定采矿权人应缴存矿山地质环境治理恢复保证金的；</w:t>
      </w:r>
    </w:p>
    <w:p>
      <w:pPr>
        <w:pStyle w:val="Normal"/>
        <w:ind w:firstLineChars="200" w:startChars="0" w:start="0" w:endChars="0" w:end="0"/>
        <w:rPr>
          <w:rFonts w:hint="eastAsia"/>
          <w:bCs/>
        </w:rPr>
      </w:pPr>
      <w:r>
        <w:rPr>
          <w:rFonts w:hint="eastAsia"/>
          <w:bCs/>
        </w:rPr>
        <w:t>（三）未按照规定审批采石场修复方案的；</w:t>
      </w:r>
    </w:p>
    <w:p>
      <w:pPr>
        <w:pStyle w:val="Normal"/>
        <w:ind w:firstLineChars="200" w:startChars="0" w:start="0" w:endChars="0" w:end="0"/>
        <w:rPr>
          <w:rFonts w:hint="eastAsia"/>
          <w:bCs/>
        </w:rPr>
      </w:pPr>
      <w:r>
        <w:rPr>
          <w:rFonts w:hint="eastAsia"/>
          <w:bCs/>
        </w:rPr>
        <w:t>（四）未按照规定进行采石场修复工程验收的；</w:t>
      </w:r>
    </w:p>
    <w:p>
      <w:pPr>
        <w:pStyle w:val="Normal"/>
        <w:ind w:firstLineChars="200" w:startChars="0" w:start="0" w:endChars="0" w:end="0"/>
        <w:rPr>
          <w:rFonts w:hint="eastAsia"/>
          <w:bCs/>
        </w:rPr>
      </w:pPr>
      <w:r>
        <w:rPr>
          <w:rFonts w:hint="eastAsia"/>
          <w:bCs/>
        </w:rPr>
        <w:t>（五）违反本条例第九条第二款、第十条第二款、第三款和第十一条规定，应当履行采石场组织修复义务而未履行或者履行不当的；</w:t>
      </w:r>
    </w:p>
    <w:p>
      <w:pPr>
        <w:pStyle w:val="Normal"/>
        <w:ind w:firstLineChars="200" w:startChars="0" w:start="0" w:endChars="0" w:end="0"/>
        <w:rPr/>
      </w:pPr>
      <w:r>
        <w:rPr>
          <w:rFonts w:hint="eastAsia"/>
          <w:bCs/>
        </w:rPr>
        <w:t>（六）</w:t>
      </w:r>
      <w:r>
        <w:rPr>
          <w:rFonts w:hint="eastAsia"/>
          <w:bCs/>
          <w:spacing w:val="-8"/>
        </w:rPr>
        <w:t>对违反本条例的行为人未及时按照本条例规定处理的；</w:t>
      </w:r>
    </w:p>
    <w:p>
      <w:pPr>
        <w:pStyle w:val="Normal"/>
        <w:ind w:firstLineChars="200" w:startChars="0" w:start="0" w:endChars="0" w:end="0"/>
        <w:rPr>
          <w:rFonts w:hint="eastAsia"/>
          <w:bCs/>
        </w:rPr>
      </w:pPr>
      <w:r>
        <w:rPr>
          <w:rFonts w:hint="eastAsia"/>
          <w:bCs/>
        </w:rPr>
        <w:t>（七）其他违反监督管理职责的行为。</w:t>
      </w:r>
    </w:p>
    <w:p>
      <w:pPr>
        <w:pStyle w:val="Normal"/>
        <w:ind w:firstLineChars="200" w:startChars="0" w:start="0" w:endChars="0" w:end="0"/>
        <w:rPr/>
      </w:pPr>
      <w:r>
        <w:rPr>
          <w:rFonts w:ascii="黑体;SimHei" w:hAnsi="黑体;SimHei" w:hint="eastAsia" w:eastAsia="黑体;SimHei"/>
          <w:bCs/>
        </w:rPr>
        <w:t>第二十二条</w:t>
      </w:r>
      <w:r>
        <w:rPr>
          <w:rFonts w:hint="eastAsia"/>
          <w:bCs/>
        </w:rPr>
        <w:t xml:space="preserve">  违反本条例第十条第一款、第四款和第十二条规定，负责采石场修复的县（区）人民政府不履行修复义务的，由市人民政府责令限期履行，并可予以通报批评。逾期不履行的，对直接负责的主管人员和其他直接责任人员给予行政处分；涉嫌犯罪的，依法移交司法机关追究刑事责任。</w:t>
      </w:r>
    </w:p>
    <w:p>
      <w:pPr>
        <w:pStyle w:val="Normal"/>
        <w:ind w:firstLineChars="200" w:startChars="0" w:start="0" w:endChars="0" w:end="0"/>
        <w:rPr/>
      </w:pPr>
      <w:r>
        <w:rPr>
          <w:rFonts w:ascii="黑体;SimHei" w:hAnsi="黑体;SimHei" w:hint="eastAsia" w:eastAsia="黑体;SimHei"/>
          <w:bCs/>
        </w:rPr>
        <w:t>第二十三条</w:t>
      </w:r>
      <w:r>
        <w:rPr>
          <w:rFonts w:hint="eastAsia"/>
          <w:bCs/>
        </w:rPr>
        <w:t xml:space="preserve">  法律、行政法规对采石场修复活动另有规定的</w:t>
      </w:r>
      <w:r>
        <w:rPr>
          <w:rFonts w:hint="eastAsia"/>
          <w:bCs/>
        </w:rPr>
        <w:t>,</w:t>
      </w:r>
      <w:r>
        <w:rPr>
          <w:rFonts w:hint="eastAsia"/>
          <w:bCs/>
        </w:rPr>
        <w:t>从其规定。</w:t>
      </w:r>
    </w:p>
    <w:p>
      <w:pPr>
        <w:pStyle w:val="Normal"/>
        <w:ind w:firstLineChars="200" w:startChars="0" w:start="0" w:endChars="0" w:end="0"/>
        <w:rPr/>
      </w:pPr>
      <w:r>
        <w:rPr>
          <w:rFonts w:ascii="黑体;SimHei" w:hAnsi="黑体;SimHei" w:hint="eastAsia" w:eastAsia="黑体;SimHei"/>
          <w:bCs/>
        </w:rPr>
        <w:t>第二十四条</w:t>
      </w:r>
      <w:r>
        <w:rPr>
          <w:rFonts w:hint="eastAsia"/>
          <w:bCs/>
        </w:rPr>
        <w:t xml:space="preserve">  本条例自</w:t>
      </w:r>
      <w:r>
        <w:rPr>
          <w:rFonts w:hint="eastAsia"/>
          <w:bCs/>
        </w:rPr>
        <w:t>2017</w:t>
      </w:r>
      <w:r>
        <w:rPr>
          <w:rFonts w:hint="eastAsia"/>
          <w:bCs/>
        </w:rPr>
        <w:t>年</w:t>
      </w:r>
      <w:r>
        <w:rPr>
          <w:rFonts w:hint="eastAsia"/>
          <w:bCs/>
        </w:rPr>
        <w:t>11</w:t>
      </w:r>
      <w:r>
        <w:rPr>
          <w:rFonts w:hint="eastAsia"/>
          <w:bCs/>
        </w:rPr>
        <w:t>月</w:t>
      </w:r>
      <w:r>
        <w:rPr>
          <w:rFonts w:hint="eastAsia"/>
          <w:bCs/>
        </w:rPr>
        <w:t>1</w:t>
      </w:r>
      <w:r>
        <w:rPr>
          <w:rFonts w:hint="eastAsia"/>
          <w:bCs/>
        </w:rPr>
        <w:t>日起施行。</w:t>
      </w:r>
    </w:p>
    <w:p>
      <w:pPr>
        <w:pStyle w:val="Normal"/>
        <w:rPr>
          <w:rFonts w:hint="eastAsia"/>
          <w:bCs/>
        </w:rPr>
      </w:pPr>
      <w:r>
        <w:rPr>
          <w:rFonts w:hint="eastAsia"/>
          <w:bCs/>
        </w:rPr>
      </w:r>
    </w:p>
    <w:p>
      <w:pPr>
        <w:pStyle w:val="Normal"/>
        <w:rPr>
          <w:rFonts w:hint="eastAsia"/>
          <w:sz w:val="28"/>
          <w:szCs w:val="28"/>
        </w:rPr>
      </w:pPr>
      <w:r>
        <w:rPr>
          <w:rFonts w:hint="eastAsia"/>
          <w:sz w:val="28"/>
          <w:szCs w:val="28"/>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方正小标宋简体">
    <w:charset w:val="86"/>
    <w:family w:val="auto"/>
    <w:pitch w:val="variable"/>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613410" cy="553720"/>
              <wp:effectExtent l="0" t="0" r="0" b="0"/>
              <wp:wrapSquare wrapText="bothSides"/>
              <wp:docPr id="1" name="Frame1"/>
              <a:graphic xmlns:a="http://schemas.openxmlformats.org/drawingml/2006/main">
                <a:graphicData uri="http://schemas.microsoft.com/office/word/2010/wordprocessingShape">
                  <wps:wsp>
                    <wps:cNvSpPr txBox="1"/>
                    <wps:spPr>
                      <a:xfrm>
                        <a:off x="0" y="0"/>
                        <a:ext cx="613410" cy="553720"/>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48.3pt;height:43.6pt;mso-wrap-distance-left:0pt;mso-wrap-distance-right:0pt;mso-wrap-distance-top:0pt;mso-wrap-distance-bottom:0pt;margin-top:0.05pt;mso-position-vertical-relative:text;margin-left:393.9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eastAsia="宋体;SimSun"/>
      <w:b/>
      <w:kern w:val="2"/>
      <w:sz w:val="44"/>
      <w:szCs w:val="28"/>
    </w:rPr>
  </w:style>
  <w:style w:type="character" w:styleId="Style13">
    <w:name w:val="默认段落字体"/>
    <w:qFormat/>
    <w:rPr/>
  </w:style>
  <w:style w:type="character" w:styleId="Strong">
    <w:name w:val="Strong"/>
    <w:qFormat/>
    <w:rPr>
      <w:rFonts w:ascii="Times New Roman" w:hAnsi="Times New Roman" w:cs="Times New Roman"/>
      <w:b/>
      <w:bCs w:val="false"/>
      <w:lang w:bidi="ar-SA"/>
    </w:rPr>
  </w:style>
  <w:style w:type="character" w:styleId="CharChar">
    <w:name w:val=" Char Char"/>
    <w:basedOn w:val="Style13"/>
    <w:qFormat/>
    <w:rPr>
      <w:rFonts w:eastAsia="仿宋_GB2312"/>
      <w:kern w:val="2"/>
      <w:sz w:val="32"/>
      <w:szCs w:val="24"/>
      <w:lang w:bidi="ar-SA"/>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4">
    <w:name w:val="纯文本"/>
    <w:basedOn w:val="Normal"/>
    <w:qFormat/>
    <w:pPr/>
    <w:rPr>
      <w:rFonts w:ascii="宋体;SimSun" w:hAnsi="宋体;SimSun" w:cs="Courier New"/>
      <w:sz w:val="21"/>
      <w:szCs w:val="20"/>
    </w:rPr>
  </w:style>
  <w:style w:type="paragraph" w:styleId="Style15">
    <w:name w:val="普通(网站)"/>
    <w:basedOn w:val="Normal"/>
    <w:qFormat/>
    <w:pPr>
      <w:widowControl/>
      <w:spacing w:before="280" w:after="280"/>
      <w:jc w:val="start"/>
    </w:pPr>
    <w:rPr>
      <w:rFonts w:eastAsia="宋体;SimSun"/>
      <w:kern w:val="0"/>
      <w:sz w:val="24"/>
    </w:rPr>
  </w:style>
  <w:style w:type="paragraph" w:styleId="BodyTextIndent">
    <w:name w:val="Body Text Indent"/>
    <w:basedOn w:val="Normal"/>
    <w:pPr>
      <w:spacing w:before="0" w:after="120"/>
      <w:ind w:firstLineChars="0" w:firstLine="0" w:startChars="200" w:endChars="0" w:end="0"/>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
    <w:name w:val="Char"/>
    <w:basedOn w:val="Normal"/>
    <w:qFormat/>
    <w:pPr>
      <w:tabs>
        <w:tab w:val="clear" w:pos="420"/>
        <w:tab w:val="left" w:pos="360" w:leader="none"/>
      </w:tabs>
      <w:ind w:hangingChars="200" w:startChars="0" w:start="0" w:endChars="0" w:end="0"/>
    </w:pPr>
    <w:rPr>
      <w:rFonts w:eastAsia="宋体;SimSun"/>
      <w:sz w:val="24"/>
      <w:szCs w:val="32"/>
    </w:rPr>
  </w:style>
  <w:style w:type="paragraph" w:styleId="Style16">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2017-10-09T15:29:00Z</dcterms:created>
  <dc:creator>梁艳</dc:creator>
  <dc:description/>
  <cp:keywords/>
  <dc:language>en-US</dc:language>
  <cp:lastModifiedBy>陈慧</cp:lastModifiedBy>
  <cp:lastPrinted>2017-09-27T19:06:00Z</cp:lastPrinted>
  <dcterms:modified xsi:type="dcterms:W3CDTF">2017-10-09T15:31:00Z</dcterms:modified>
  <cp:revision>3</cp:revision>
  <dc:subject/>
  <dc:title>省十二届人大常委会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2052-10.1.0.6235</vt:lpwstr>
  </property>
</Properties>
</file>