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0"/>
        <w:keepNext w:val="false"/>
        <w:keepLines w:val="false"/>
        <w:pageBreakBefore w:val="false"/>
        <w:widowControl w:val="false"/>
        <w:kinsoku w:val="true"/>
        <w:overflowPunct w:val="false"/>
        <w:autoSpaceDE w:val="true"/>
        <w:bidi w:val="0"/>
        <w:snapToGrid w:val="false"/>
        <w:spacing w:lineRule="exact" w:line="680"/>
        <w:jc w:val="center"/>
        <w:textAlignment w:val="auto"/>
        <w:rPr>
          <w:rFonts w:eastAsia="方正小标宋简体"/>
          <w:color w:val="000000"/>
          <w:sz w:val="44"/>
          <w:szCs w:val="44"/>
        </w:rPr>
      </w:pPr>
      <w:r>
        <w:rPr>
          <w:rFonts w:eastAsia="方正小标宋简体"/>
          <w:color w:val="000000"/>
          <w:sz w:val="44"/>
          <w:szCs w:val="44"/>
        </w:rPr>
        <w:t>合肥市非机动车安全管理条例</w:t>
      </w:r>
    </w:p>
    <w:p>
      <w:pPr>
        <w:pStyle w:val="0"/>
        <w:keepNext w:val="false"/>
        <w:keepLines w:val="false"/>
        <w:pageBreakBefore w:val="false"/>
        <w:widowControl w:val="false"/>
        <w:kinsoku w:val="true"/>
        <w:overflowPunct w:val="true"/>
        <w:bidi w:val="0"/>
        <w:snapToGrid w:val="true"/>
        <w:spacing w:lineRule="auto" w:line="240"/>
        <w:jc w:val="center"/>
        <w:textAlignment w:val="auto"/>
        <w:rPr>
          <w:rFonts w:eastAsia="楷体_GB2312" w:cs="楷体_GB2312"/>
          <w:color w:val="000000"/>
          <w:sz w:val="44"/>
          <w:szCs w:val="32"/>
        </w:rPr>
      </w:pPr>
      <w:r>
        <w:rPr>
          <w:rFonts w:eastAsia="楷体_GB2312" w:cs="楷体_GB2312"/>
          <w:color w:val="000000"/>
          <w:sz w:val="44"/>
          <w:szCs w:val="32"/>
        </w:rPr>
      </w:r>
    </w:p>
    <w:p>
      <w:pPr>
        <w:pStyle w:val="0"/>
        <w:keepNext w:val="false"/>
        <w:keepLines w:val="false"/>
        <w:pageBreakBefore w:val="false"/>
        <w:widowControl w:val="false"/>
        <w:kinsoku w:val="true"/>
        <w:overflowPunct w:val="true"/>
        <w:bidi w:val="0"/>
        <w:snapToGrid w:val="true"/>
        <w:spacing w:lineRule="auto" w:line="240"/>
        <w:jc w:val="start"/>
        <w:textAlignment w:val="auto"/>
        <w:rPr>
          <w:rFonts w:eastAsia="楷体_GB2312" w:cs="楷体_GB2312"/>
          <w:color w:val="000000"/>
          <w:szCs w:val="32"/>
        </w:rPr>
      </w:pPr>
      <w:r>
        <w:rPr>
          <w:rFonts w:eastAsia="楷体_GB2312" w:cs="楷体_GB2312" w:hint="eastAsia"/>
          <w:color w:val="000000"/>
          <w:szCs w:val="32"/>
        </w:rPr>
        <w:t xml:space="preserve">    </w:t>
      </w:r>
      <w:r>
        <w:rPr>
          <w:rFonts w:cs="楷体_GB2312" w:hint="eastAsia" w:eastAsia="楷体_GB2312"/>
          <w:color w:val="000000"/>
          <w:szCs w:val="32"/>
        </w:rPr>
        <w:t>（</w:t>
      </w:r>
      <w:r>
        <w:rPr>
          <w:rFonts w:eastAsia="楷体_GB2312" w:cs="楷体_GB2312" w:hint="eastAsia" w:ascii="楷体_GB2312" w:hAnsi="楷体_GB2312"/>
          <w:color w:val="000000"/>
          <w:szCs w:val="32"/>
        </w:rPr>
        <w:t>2022</w:t>
      </w:r>
      <w:r>
        <w:rPr>
          <w:rFonts w:ascii="楷体_GB2312" w:hAnsi="楷体_GB2312" w:cs="楷体_GB2312" w:hint="eastAsia" w:eastAsia="楷体_GB2312"/>
          <w:color w:val="000000"/>
          <w:szCs w:val="32"/>
        </w:rPr>
        <w:t>年</w:t>
      </w:r>
      <w:r>
        <w:rPr>
          <w:rFonts w:eastAsia="楷体_GB2312" w:cs="楷体_GB2312" w:hint="eastAsia" w:ascii="楷体_GB2312" w:hAnsi="楷体_GB2312"/>
          <w:color w:val="000000"/>
          <w:szCs w:val="32"/>
        </w:rPr>
        <w:t>8</w:t>
      </w:r>
      <w:r>
        <w:rPr>
          <w:rFonts w:ascii="楷体_GB2312" w:hAnsi="楷体_GB2312" w:cs="楷体_GB2312" w:hint="eastAsia" w:eastAsia="楷体_GB2312"/>
          <w:color w:val="000000"/>
          <w:szCs w:val="32"/>
        </w:rPr>
        <w:t>月</w:t>
      </w:r>
      <w:r>
        <w:rPr>
          <w:rFonts w:eastAsia="楷体_GB2312" w:cs="楷体_GB2312" w:hint="eastAsia" w:ascii="楷体_GB2312" w:hAnsi="楷体_GB2312"/>
          <w:color w:val="000000"/>
          <w:szCs w:val="32"/>
        </w:rPr>
        <w:t>31</w:t>
      </w:r>
      <w:r>
        <w:rPr>
          <w:rFonts w:ascii="楷体_GB2312" w:hAnsi="楷体_GB2312" w:cs="楷体_GB2312" w:hint="eastAsia" w:eastAsia="楷体_GB2312"/>
          <w:color w:val="000000"/>
          <w:szCs w:val="32"/>
        </w:rPr>
        <w:t>日合肥市第十七届人民代表大会常务委员会第四次会议通过</w:t>
      </w:r>
      <w:r>
        <w:rPr>
          <w:rFonts w:ascii="楷体_GB2312" w:hAnsi="楷体_GB2312" w:cs="楷体_GB2312" w:hint="eastAsia" w:eastAsia="楷体_GB2312"/>
          <w:color w:val="000000"/>
          <w:szCs w:val="32"/>
          <w:lang w:val="en"/>
        </w:rPr>
        <w:t xml:space="preserve"> </w:t>
      </w:r>
      <w:r>
        <w:rPr>
          <w:rFonts w:ascii="楷体_GB2312" w:hAnsi="楷体_GB2312" w:cs="楷体_GB2312" w:hint="eastAsia" w:eastAsia="楷体_GB2312"/>
          <w:color w:val="000000"/>
          <w:szCs w:val="32"/>
        </w:rPr>
        <w:t xml:space="preserve">  </w:t>
      </w:r>
      <w:r>
        <w:rPr>
          <w:rFonts w:ascii="楷体_GB2312" w:hAnsi="楷体_GB2312" w:cs="楷体_GB2312" w:hint="eastAsia" w:eastAsia="楷体_GB2312"/>
          <w:color w:val="000000"/>
          <w:szCs w:val="32"/>
          <w:lang w:val="en"/>
        </w:rPr>
        <w:t xml:space="preserve">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日安徽省第十三届人民代表大会常务委员会第三十六次会议批准</w:t>
      </w:r>
      <w:r>
        <w:rPr>
          <w:rFonts w:cs="楷体_GB2312" w:hint="eastAsia" w:eastAsia="楷体_GB2312"/>
          <w:color w:val="000000"/>
          <w:szCs w:val="32"/>
        </w:rPr>
        <w:t>）</w:t>
      </w:r>
    </w:p>
    <w:p>
      <w:pPr>
        <w:pStyle w:val="Default"/>
        <w:keepNext w:val="false"/>
        <w:keepLines w:val="false"/>
        <w:pageBreakBefore w:val="false"/>
        <w:widowControl w:val="false"/>
        <w:kinsoku w:val="true"/>
        <w:overflowPunct w:val="true"/>
        <w:bidi w:val="0"/>
        <w:snapToGrid w:val="true"/>
        <w:spacing w:lineRule="auto" w:line="240"/>
        <w:textAlignment w:val="auto"/>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0"/>
        <w:keepNext w:val="false"/>
        <w:keepLines w:val="false"/>
        <w:pageBreakBefore w:val="false"/>
        <w:widowControl w:val="false"/>
        <w:kinsoku w:val="true"/>
        <w:overflowPunct w:val="true"/>
        <w:bidi w:val="0"/>
        <w:snapToGrid w:val="true"/>
        <w:spacing w:lineRule="auto" w:line="240"/>
        <w:jc w:val="center"/>
        <w:textAlignment w:val="auto"/>
        <w:rPr>
          <w:rFonts w:eastAsia="楷体_GB2312" w:cs="仿宋_GB2312"/>
          <w:color w:val="000000"/>
          <w:szCs w:val="32"/>
        </w:rPr>
      </w:pPr>
      <w:r>
        <w:rPr>
          <w:rFonts w:cs="仿宋_GB2312" w:hint="eastAsia" w:eastAsia="楷体_GB2312"/>
          <w:color w:val="000000"/>
          <w:szCs w:val="32"/>
        </w:rPr>
        <w:t>目　　录</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eastAsia="楷体_GB2312" w:cs="仿宋_GB2312"/>
          <w:color w:val="000000"/>
          <w:sz w:val="32"/>
          <w:szCs w:val="32"/>
        </w:rPr>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第一章  总    则</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第二章  生产、销售和登记管理</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第三章  通行管理</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第四章  停放和充电管理</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第五章  互联网租赁非机动车管理</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第六章  法律责任</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color w:val="000000"/>
          <w:sz w:val="32"/>
          <w:szCs w:val="32"/>
        </w:rPr>
      </w:pPr>
      <w:r>
        <w:rPr>
          <w:rFonts w:cs="仿宋_GB2312" w:hint="eastAsia" w:eastAsia="楷体_GB2312"/>
          <w:color w:val="000000"/>
          <w:sz w:val="32"/>
          <w:szCs w:val="32"/>
        </w:rPr>
        <w:t>第七章  附    则</w:t>
      </w:r>
    </w:p>
    <w:p>
      <w:pPr>
        <w:pStyle w:val="0"/>
        <w:overflowPunct w:val="false"/>
        <w:snapToGrid w:val="false"/>
        <w:spacing w:lineRule="exact" w:line="566"/>
        <w:jc w:val="center"/>
        <w:rPr>
          <w:rFonts w:eastAsia="黑体" w:cs="仿宋_GB2312"/>
          <w:color w:val="000000"/>
          <w:sz w:val="32"/>
          <w:szCs w:val="32"/>
        </w:rPr>
      </w:pPr>
      <w:r>
        <w:rPr>
          <w:rFonts w:eastAsia="黑体" w:cs="仿宋_GB2312"/>
          <w:color w:val="000000"/>
          <w:sz w:val="32"/>
          <w:szCs w:val="32"/>
        </w:rPr>
      </w:r>
    </w:p>
    <w:p>
      <w:pPr>
        <w:pStyle w:val="0"/>
        <w:overflowPunct w:val="false"/>
        <w:snapToGrid w:val="false"/>
        <w:spacing w:lineRule="exact" w:line="566"/>
        <w:jc w:val="center"/>
        <w:rPr>
          <w:rFonts w:eastAsia="黑体"/>
          <w:color w:val="000000"/>
          <w:szCs w:val="32"/>
        </w:rPr>
      </w:pPr>
      <w:r>
        <w:rPr>
          <w:rFonts w:hint="eastAsia" w:eastAsia="黑体"/>
          <w:color w:val="000000"/>
          <w:szCs w:val="32"/>
        </w:rPr>
        <w:t>第</w:t>
      </w:r>
      <w:r>
        <w:rPr>
          <w:rFonts w:eastAsia="黑体"/>
          <w:color w:val="000000"/>
          <w:szCs w:val="32"/>
        </w:rPr>
        <w:t xml:space="preserve">一章  总   </w:t>
      </w:r>
      <w:r>
        <w:rPr>
          <w:rFonts w:hint="eastAsia" w:eastAsia="黑体"/>
          <w:color w:val="000000"/>
          <w:szCs w:val="32"/>
        </w:rPr>
        <w:t xml:space="preserve"> </w:t>
      </w:r>
      <w:r>
        <w:rPr>
          <w:rFonts w:eastAsia="黑体"/>
          <w:color w:val="000000"/>
          <w:szCs w:val="32"/>
        </w:rPr>
        <w:t>则</w:t>
      </w:r>
    </w:p>
    <w:p>
      <w:pPr>
        <w:pStyle w:val="0"/>
        <w:overflowPunct w:val="false"/>
        <w:snapToGrid w:val="false"/>
        <w:spacing w:lineRule="exact" w:line="566"/>
        <w:jc w:val="center"/>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第一条</w:t>
      </w:r>
      <w:r>
        <w:rPr>
          <w:rFonts w:hint="eastAsia" w:eastAsia="黑体"/>
          <w:color w:val="000000"/>
          <w:szCs w:val="32"/>
        </w:rPr>
        <w:t xml:space="preserve">  </w:t>
      </w:r>
      <w:r>
        <w:rPr>
          <w:color w:val="000000"/>
          <w:szCs w:val="32"/>
        </w:rPr>
        <w:t>为了加强非机动车管理，预防和减少交通、火灾等安全事故，保障人身、财产安全，根据《中华人民共和国道路交通安全法》</w:t>
      </w:r>
      <w:r>
        <w:rPr>
          <w:rFonts w:hint="eastAsia"/>
          <w:color w:val="000000"/>
          <w:szCs w:val="32"/>
        </w:rPr>
        <w:t>和</w:t>
      </w:r>
      <w:r>
        <w:rPr>
          <w:color w:val="000000"/>
          <w:szCs w:val="32"/>
        </w:rPr>
        <w:t>有关法</w:t>
      </w:r>
      <w:r>
        <w:rPr>
          <w:rFonts w:hint="eastAsia"/>
          <w:color w:val="000000"/>
          <w:szCs w:val="32"/>
        </w:rPr>
        <w:t>律、</w:t>
      </w:r>
      <w:r>
        <w:rPr>
          <w:color w:val="000000"/>
          <w:szCs w:val="32"/>
        </w:rPr>
        <w:t>行政法规，结合本市实际，制定本条例。</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第二条</w:t>
      </w:r>
      <w:r>
        <w:rPr>
          <w:rFonts w:hint="eastAsia" w:eastAsia="黑体"/>
          <w:color w:val="000000"/>
          <w:szCs w:val="32"/>
        </w:rPr>
        <w:t xml:space="preserve">  </w:t>
      </w:r>
      <w:r>
        <w:rPr>
          <w:color w:val="000000"/>
          <w:szCs w:val="32"/>
        </w:rPr>
        <w:t>本条例适用于本市行政区域内非机动车的生产、销售、登记、通行、停放、充电及其安全管理活动。</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本条例所称非机动车，是指以人力或者畜力驱动，上道路行驶的交通工具，以及虽然有动力装置驱动但是设计最高时速、空车质量、外形尺寸符合有关国家标准的残疾人机动轮椅车、电动自行车等交通工具。</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三</w:t>
      </w:r>
      <w:r>
        <w:rPr>
          <w:rFonts w:eastAsia="黑体"/>
          <w:color w:val="000000"/>
          <w:szCs w:val="32"/>
        </w:rPr>
        <w:t>条</w:t>
      </w:r>
      <w:r>
        <w:rPr>
          <w:rFonts w:hint="eastAsia" w:eastAsia="黑体"/>
          <w:color w:val="000000"/>
          <w:szCs w:val="32"/>
        </w:rPr>
        <w:t xml:space="preserve">  </w:t>
      </w:r>
      <w:r>
        <w:rPr>
          <w:color w:val="000000"/>
          <w:szCs w:val="32"/>
        </w:rPr>
        <w:t>市、县（市）区人民政府应当加强统一领导，建立非机动车安全管理责任制，完善非机动车通行、停放</w:t>
      </w:r>
      <w:r>
        <w:rPr>
          <w:rFonts w:hint="eastAsia"/>
          <w:color w:val="000000"/>
          <w:szCs w:val="32"/>
        </w:rPr>
        <w:t>、</w:t>
      </w:r>
      <w:r>
        <w:rPr>
          <w:color w:val="000000"/>
          <w:szCs w:val="32"/>
        </w:rPr>
        <w:t>充电等基础设施规划建设，优化非机动车公共交通网络布局。</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市、县（市）区人民政府应当建立联席会议制度，协调解决非机动车安全管理有关重大问题。</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乡镇人民政府、街道办事处应当组织落实辖区内非机动车安全宣传教育和规范停放、安全充电换电等管理工作，推动社区参与非机动车综合治理。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四</w:t>
      </w:r>
      <w:r>
        <w:rPr>
          <w:rFonts w:eastAsia="黑体"/>
          <w:color w:val="000000"/>
          <w:szCs w:val="32"/>
        </w:rPr>
        <w:t>条</w:t>
      </w:r>
      <w:r>
        <w:rPr>
          <w:rFonts w:hint="eastAsia" w:eastAsia="黑体"/>
          <w:color w:val="000000"/>
          <w:szCs w:val="32"/>
        </w:rPr>
        <w:t xml:space="preserve">  </w:t>
      </w:r>
      <w:r>
        <w:rPr>
          <w:color w:val="000000"/>
          <w:szCs w:val="32"/>
        </w:rPr>
        <w:t>公安机关负责组织实施本条例，并依法做好非机动车登记和道路通行管理等工作。</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市场监督管理部门负责非机动车生产、销售</w:t>
      </w:r>
      <w:r>
        <w:rPr>
          <w:rFonts w:hint="eastAsia"/>
          <w:color w:val="000000"/>
          <w:szCs w:val="32"/>
        </w:rPr>
        <w:t>以</w:t>
      </w:r>
      <w:r>
        <w:rPr>
          <w:color w:val="000000"/>
          <w:szCs w:val="32"/>
        </w:rPr>
        <w:t>及相关产品质量的监督管理。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城市管理部门会同公安机关负责公共场所非机动车停放的监督管理</w:t>
      </w:r>
      <w:r>
        <w:rPr>
          <w:color w:val="000000"/>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交</w:t>
      </w:r>
      <w:r>
        <w:rPr>
          <w:color w:val="000000"/>
          <w:spacing w:val="-6"/>
          <w:szCs w:val="32"/>
        </w:rPr>
        <w:t>通运输部门负责互联网租赁非机动车投放</w:t>
      </w:r>
      <w:r>
        <w:rPr>
          <w:rFonts w:hint="eastAsia"/>
          <w:color w:val="000000"/>
          <w:spacing w:val="-6"/>
          <w:szCs w:val="32"/>
        </w:rPr>
        <w:t>运营</w:t>
      </w:r>
      <w:r>
        <w:rPr>
          <w:color w:val="000000"/>
          <w:spacing w:val="-6"/>
          <w:szCs w:val="32"/>
        </w:rPr>
        <w:t>的监督管理。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消防救援机构负责非机动车违反消防安全管理规定停放、充电行为</w:t>
      </w:r>
      <w:r>
        <w:rPr>
          <w:rFonts w:hint="eastAsia"/>
          <w:color w:val="000000"/>
          <w:szCs w:val="32"/>
        </w:rPr>
        <w:t>的</w:t>
      </w:r>
      <w:r>
        <w:rPr>
          <w:color w:val="000000"/>
          <w:szCs w:val="32"/>
        </w:rPr>
        <w:t>监督管理。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发</w:t>
      </w:r>
      <w:r>
        <w:rPr>
          <w:rFonts w:hint="eastAsia"/>
          <w:color w:val="000000"/>
          <w:spacing w:val="-4"/>
          <w:szCs w:val="32"/>
        </w:rPr>
        <w:t>展和改革、财政、</w:t>
      </w:r>
      <w:r>
        <w:rPr>
          <w:color w:val="000000"/>
          <w:spacing w:val="-4"/>
          <w:szCs w:val="32"/>
        </w:rPr>
        <w:t>自然资源和规划、生态环境、城乡建设、</w:t>
      </w:r>
      <w:r>
        <w:rPr>
          <w:rFonts w:hint="eastAsia"/>
          <w:color w:val="000000"/>
          <w:spacing w:val="-4"/>
          <w:szCs w:val="32"/>
        </w:rPr>
        <w:t>商务、</w:t>
      </w:r>
      <w:r>
        <w:rPr>
          <w:color w:val="000000"/>
          <w:spacing w:val="-4"/>
          <w:szCs w:val="32"/>
        </w:rPr>
        <w:t>住房保障和房产管理、</w:t>
      </w:r>
      <w:r>
        <w:rPr>
          <w:rFonts w:hint="eastAsia"/>
          <w:color w:val="000000"/>
          <w:spacing w:val="-4"/>
          <w:szCs w:val="32"/>
        </w:rPr>
        <w:t>林业和园林、</w:t>
      </w:r>
      <w:r>
        <w:rPr>
          <w:color w:val="000000"/>
          <w:spacing w:val="-4"/>
          <w:szCs w:val="32"/>
        </w:rPr>
        <w:t>邮政管理</w:t>
      </w:r>
      <w:r>
        <w:rPr>
          <w:rFonts w:hint="eastAsia"/>
          <w:color w:val="000000"/>
          <w:spacing w:val="-4"/>
          <w:szCs w:val="32"/>
        </w:rPr>
        <w:t>、</w:t>
      </w:r>
      <w:r>
        <w:rPr>
          <w:color w:val="000000"/>
          <w:spacing w:val="-4"/>
          <w:szCs w:val="32"/>
        </w:rPr>
        <w:t>残联等部门</w:t>
      </w:r>
      <w:r>
        <w:rPr>
          <w:rFonts w:hint="eastAsia"/>
          <w:color w:val="000000"/>
          <w:spacing w:val="-4"/>
          <w:szCs w:val="32"/>
        </w:rPr>
        <w:t>和单位</w:t>
      </w:r>
      <w:r>
        <w:rPr>
          <w:color w:val="000000"/>
          <w:spacing w:val="-4"/>
          <w:szCs w:val="32"/>
        </w:rPr>
        <w:t>在各自职责范围内，依法做好非机动车安全管理相关工作。</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五</w:t>
      </w:r>
      <w:r>
        <w:rPr>
          <w:rFonts w:eastAsia="黑体"/>
          <w:color w:val="000000"/>
          <w:szCs w:val="32"/>
        </w:rPr>
        <w:t>条</w:t>
      </w:r>
      <w:r>
        <w:rPr>
          <w:rFonts w:hint="eastAsia" w:eastAsia="黑体"/>
          <w:color w:val="000000"/>
          <w:szCs w:val="32"/>
        </w:rPr>
        <w:t xml:space="preserve">  </w:t>
      </w:r>
      <w:r>
        <w:rPr>
          <w:color w:val="000000"/>
          <w:szCs w:val="32"/>
        </w:rPr>
        <w:t>相关行业组织应当加强行业自律，组织制定非机动车安全管理行业规范，引导、协调、监督会员单位依法从事非机动车生产、销售、回收等经营活动，协助政府有关部门做好非机动车安全管理工作。</w:t>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hint="eastAsia" w:eastAsia="黑体"/>
          <w:color w:val="000000"/>
          <w:szCs w:val="32"/>
        </w:rPr>
        <w:t>第二</w:t>
      </w:r>
      <w:r>
        <w:rPr>
          <w:rFonts w:eastAsia="黑体"/>
          <w:color w:val="000000"/>
          <w:szCs w:val="32"/>
        </w:rPr>
        <w:t>章  生产、销售和登记管理</w:t>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六</w:t>
      </w:r>
      <w:r>
        <w:rPr>
          <w:rFonts w:eastAsia="黑体"/>
          <w:color w:val="000000"/>
          <w:szCs w:val="32"/>
        </w:rPr>
        <w:t>条</w:t>
      </w:r>
      <w:r>
        <w:rPr>
          <w:rFonts w:hint="eastAsia" w:eastAsia="黑体"/>
          <w:color w:val="000000"/>
          <w:szCs w:val="32"/>
        </w:rPr>
        <w:t xml:space="preserve">  </w:t>
      </w:r>
      <w:r>
        <w:rPr>
          <w:color w:val="000000"/>
          <w:szCs w:val="32"/>
        </w:rPr>
        <w:t>在本市生产、销售的非机动车应当符合国家标准。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电动自行车</w:t>
      </w:r>
      <w:r>
        <w:rPr>
          <w:rFonts w:hint="eastAsia"/>
          <w:color w:val="000000"/>
          <w:szCs w:val="32"/>
        </w:rPr>
        <w:t>的</w:t>
      </w:r>
      <w:r>
        <w:rPr>
          <w:color w:val="000000"/>
          <w:szCs w:val="32"/>
        </w:rPr>
        <w:t>蓄电池、电动机、充电器、安全头盔等相关产品应当符合相关标准。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pacing w:val="-6"/>
          <w:szCs w:val="32"/>
        </w:rPr>
      </w:pPr>
      <w:r>
        <w:rPr>
          <w:color w:val="000000"/>
          <w:szCs w:val="32"/>
        </w:rPr>
        <w:t>电</w:t>
      </w:r>
      <w:r>
        <w:rPr>
          <w:color w:val="000000"/>
          <w:spacing w:val="-6"/>
          <w:szCs w:val="32"/>
        </w:rPr>
        <w:t>动自行车</w:t>
      </w:r>
      <w:r>
        <w:rPr>
          <w:rFonts w:hint="eastAsia"/>
          <w:color w:val="000000"/>
          <w:spacing w:val="-6"/>
          <w:szCs w:val="32"/>
        </w:rPr>
        <w:t>、残疾人机动轮椅车</w:t>
      </w:r>
      <w:r>
        <w:rPr>
          <w:color w:val="000000"/>
          <w:spacing w:val="-6"/>
          <w:szCs w:val="32"/>
        </w:rPr>
        <w:t>销售者应当在销售场所醒目位置公示所售</w:t>
      </w:r>
      <w:r>
        <w:rPr>
          <w:rFonts w:hint="eastAsia"/>
          <w:color w:val="000000"/>
          <w:spacing w:val="-6"/>
          <w:szCs w:val="32"/>
        </w:rPr>
        <w:t>非机动车</w:t>
      </w:r>
      <w:r>
        <w:rPr>
          <w:color w:val="000000"/>
          <w:spacing w:val="-6"/>
          <w:szCs w:val="32"/>
        </w:rPr>
        <w:t>取得国家强制性产品认证的相关信息</w:t>
      </w:r>
      <w:r>
        <w:rPr>
          <w:rFonts w:hint="eastAsia"/>
          <w:color w:val="000000"/>
          <w:spacing w:val="-6"/>
          <w:szCs w:val="32"/>
        </w:rPr>
        <w:t>；通过电子商务平台进行销售的，应当在披露的商品信息中包含相关信息</w:t>
      </w:r>
      <w:r>
        <w:rPr>
          <w:color w:val="000000"/>
          <w:spacing w:val="-6"/>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七</w:t>
      </w:r>
      <w:r>
        <w:rPr>
          <w:rFonts w:eastAsia="黑体"/>
          <w:color w:val="000000"/>
          <w:szCs w:val="32"/>
        </w:rPr>
        <w:t>条</w:t>
      </w:r>
      <w:r>
        <w:rPr>
          <w:rFonts w:hint="eastAsia" w:eastAsia="黑体"/>
          <w:color w:val="000000"/>
          <w:szCs w:val="32"/>
        </w:rPr>
        <w:t xml:space="preserve">  </w:t>
      </w:r>
      <w:r>
        <w:rPr>
          <w:color w:val="000000"/>
          <w:szCs w:val="32"/>
        </w:rPr>
        <w:t>电动自行车所有人应当按照有害垃圾依法分类处理</w:t>
      </w:r>
      <w:r>
        <w:rPr>
          <w:rFonts w:hint="eastAsia"/>
          <w:color w:val="000000"/>
          <w:szCs w:val="32"/>
        </w:rPr>
        <w:t>电动自行车的废旧电池</w:t>
      </w:r>
      <w:r>
        <w:rPr>
          <w:color w:val="000000"/>
          <w:szCs w:val="32"/>
        </w:rPr>
        <w:t>，不得随意丢弃。</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鼓励</w:t>
      </w:r>
      <w:r>
        <w:rPr>
          <w:color w:val="000000"/>
          <w:szCs w:val="32"/>
        </w:rPr>
        <w:t>电动自行车生产者、销售者采取以旧换新等方式回收</w:t>
      </w:r>
      <w:r>
        <w:rPr>
          <w:rFonts w:hint="eastAsia"/>
          <w:color w:val="000000"/>
          <w:szCs w:val="32"/>
        </w:rPr>
        <w:t>废旧</w:t>
      </w:r>
      <w:r>
        <w:rPr>
          <w:color w:val="000000"/>
          <w:szCs w:val="32"/>
        </w:rPr>
        <w:t>电动自行车</w:t>
      </w:r>
      <w:r>
        <w:rPr>
          <w:rFonts w:hint="eastAsia"/>
          <w:color w:val="000000"/>
          <w:szCs w:val="32"/>
        </w:rPr>
        <w:t>及其</w:t>
      </w:r>
      <w:r>
        <w:rPr>
          <w:color w:val="000000"/>
          <w:szCs w:val="32"/>
        </w:rPr>
        <w:t>废旧电池</w:t>
      </w:r>
      <w:r>
        <w:rPr>
          <w:rFonts w:hint="eastAsia"/>
          <w:color w:val="000000"/>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电动自行车生产者、销售者应当按照</w:t>
      </w:r>
      <w:r>
        <w:rPr>
          <w:color w:val="000000"/>
          <w:szCs w:val="32"/>
        </w:rPr>
        <w:t>国家</w:t>
      </w:r>
      <w:r>
        <w:rPr>
          <w:rFonts w:hint="eastAsia"/>
          <w:color w:val="000000"/>
          <w:szCs w:val="32"/>
        </w:rPr>
        <w:t>固体</w:t>
      </w:r>
      <w:r>
        <w:rPr>
          <w:color w:val="000000"/>
          <w:szCs w:val="32"/>
        </w:rPr>
        <w:t>废物管理的相关规定</w:t>
      </w:r>
      <w:r>
        <w:rPr>
          <w:rFonts w:hint="eastAsia"/>
          <w:color w:val="000000"/>
          <w:szCs w:val="32"/>
        </w:rPr>
        <w:t>将废旧电池</w:t>
      </w:r>
      <w:r>
        <w:rPr>
          <w:color w:val="000000"/>
          <w:szCs w:val="32"/>
        </w:rPr>
        <w:t>集中处置。</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八</w:t>
      </w:r>
      <w:r>
        <w:rPr>
          <w:rFonts w:eastAsia="黑体"/>
          <w:color w:val="000000"/>
          <w:szCs w:val="32"/>
        </w:rPr>
        <w:t>条</w:t>
      </w:r>
      <w:r>
        <w:rPr>
          <w:rFonts w:hint="eastAsia" w:eastAsia="黑体"/>
          <w:color w:val="000000"/>
          <w:szCs w:val="32"/>
        </w:rPr>
        <w:t xml:space="preserve">  </w:t>
      </w:r>
      <w:r>
        <w:rPr>
          <w:color w:val="000000"/>
          <w:szCs w:val="32"/>
        </w:rPr>
        <w:t>单位和个人不得</w:t>
      </w:r>
      <w:r>
        <w:rPr>
          <w:rFonts w:hint="eastAsia"/>
          <w:color w:val="000000"/>
          <w:szCs w:val="32"/>
        </w:rPr>
        <w:t>违反规定</w:t>
      </w:r>
      <w:r>
        <w:rPr>
          <w:color w:val="000000"/>
          <w:szCs w:val="32"/>
        </w:rPr>
        <w:t>从事下列行为：</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（一）拼装非机动车；</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（二）加装、改装、更换不符合相关标准的蓄电池、电动机；</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（三）加装、改装座位</w:t>
      </w:r>
      <w:r>
        <w:rPr>
          <w:rFonts w:hint="eastAsia"/>
          <w:color w:val="000000"/>
          <w:szCs w:val="32"/>
        </w:rPr>
        <w:t>或者加装</w:t>
      </w:r>
      <w:r>
        <w:rPr>
          <w:color w:val="000000"/>
          <w:szCs w:val="32"/>
        </w:rPr>
        <w:t>遮阳篷</w:t>
      </w:r>
      <w:r>
        <w:rPr>
          <w:rFonts w:hint="eastAsia"/>
          <w:color w:val="000000"/>
          <w:szCs w:val="32"/>
        </w:rPr>
        <w:t>、挡风板</w:t>
      </w:r>
      <w:r>
        <w:rPr>
          <w:color w:val="000000"/>
          <w:szCs w:val="32"/>
        </w:rPr>
        <w:t>等影响安全驾驶的装置；</w:t>
      </w:r>
    </w:p>
    <w:p>
      <w:pPr>
        <w:pStyle w:val="Default"/>
        <w:keepNext w:val="false"/>
        <w:keepLines w:val="false"/>
        <w:pageBreakBefore w:val="false"/>
        <w:widowControl w:val="false"/>
        <w:kinsoku w:val="true"/>
        <w:bidi w:val="0"/>
        <w:snapToGrid w:val="true"/>
        <w:spacing w:lineRule="auto" w:line="24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（四）拆除或者改动限速装置；</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五</w:t>
      </w:r>
      <w:r>
        <w:rPr>
          <w:color w:val="000000"/>
          <w:szCs w:val="32"/>
        </w:rPr>
        <w:t>）</w:t>
      </w:r>
      <w:r>
        <w:rPr>
          <w:rFonts w:hint="eastAsia"/>
          <w:color w:val="000000"/>
          <w:szCs w:val="32"/>
        </w:rPr>
        <w:t>从事拼装、加装、改装电动自行车经营性活动；</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六</w:t>
      </w:r>
      <w:r>
        <w:rPr>
          <w:color w:val="000000"/>
          <w:szCs w:val="32"/>
        </w:rPr>
        <w:t>）法律</w:t>
      </w:r>
      <w:r>
        <w:rPr>
          <w:rFonts w:hint="eastAsia"/>
          <w:color w:val="000000"/>
          <w:szCs w:val="32"/>
        </w:rPr>
        <w:t>、</w:t>
      </w:r>
      <w:r>
        <w:rPr>
          <w:color w:val="000000"/>
          <w:szCs w:val="32"/>
        </w:rPr>
        <w:t>法规</w:t>
      </w:r>
      <w:r>
        <w:rPr>
          <w:rFonts w:hint="eastAsia"/>
          <w:color w:val="000000"/>
          <w:szCs w:val="32"/>
        </w:rPr>
        <w:t>规定不得从事</w:t>
      </w:r>
      <w:r>
        <w:rPr>
          <w:color w:val="000000"/>
          <w:szCs w:val="32"/>
        </w:rPr>
        <w:t>的其他行为。</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strike/>
          <w:color w:val="000000"/>
          <w:szCs w:val="32"/>
          <w:shd w:fill="D9D9D9" w:val="clear"/>
        </w:rPr>
      </w:pPr>
      <w:r>
        <w:rPr>
          <w:rFonts w:eastAsia="黑体"/>
          <w:color w:val="000000"/>
          <w:szCs w:val="32"/>
        </w:rPr>
        <w:t>第</w:t>
      </w:r>
      <w:r>
        <w:rPr>
          <w:rFonts w:hint="eastAsia" w:eastAsia="黑体"/>
          <w:color w:val="000000"/>
          <w:szCs w:val="32"/>
        </w:rPr>
        <w:t>九</w:t>
      </w:r>
      <w:r>
        <w:rPr>
          <w:rFonts w:eastAsia="黑体"/>
          <w:color w:val="000000"/>
          <w:szCs w:val="32"/>
        </w:rPr>
        <w:t>条</w:t>
      </w:r>
      <w:r>
        <w:rPr>
          <w:rFonts w:hint="eastAsia" w:eastAsia="黑体"/>
          <w:color w:val="000000"/>
          <w:szCs w:val="32"/>
        </w:rPr>
        <w:t xml:space="preserve">  </w:t>
      </w:r>
      <w:r>
        <w:rPr>
          <w:color w:val="000000"/>
          <w:szCs w:val="32"/>
        </w:rPr>
        <w:t>电动自行车、残疾人机动轮椅车应当依法登记，取得非机动车号牌后，方可上道路行驶。</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禁止伪造、变造或者使用伪造、变造</w:t>
      </w:r>
      <w:r>
        <w:rPr>
          <w:rFonts w:hint="eastAsia"/>
          <w:color w:val="000000"/>
          <w:szCs w:val="32"/>
        </w:rPr>
        <w:t>的</w:t>
      </w:r>
      <w:r>
        <w:rPr>
          <w:color w:val="000000"/>
          <w:szCs w:val="32"/>
        </w:rPr>
        <w:t>非机动车号牌。</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rPr>
      </w:pPr>
      <w:r>
        <w:rPr>
          <w:color w:val="000000"/>
          <w:szCs w:val="32"/>
        </w:rPr>
        <w:t>禁止使用其他非机动车的号牌。</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eastAsia="黑体"/>
          <w:color w:val="000000"/>
          <w:spacing w:val="4"/>
          <w:szCs w:val="32"/>
        </w:rPr>
        <w:t>十条</w:t>
      </w:r>
      <w:r>
        <w:rPr>
          <w:rFonts w:hint="eastAsia" w:eastAsia="黑体"/>
          <w:color w:val="000000"/>
          <w:spacing w:val="4"/>
          <w:szCs w:val="32"/>
        </w:rPr>
        <w:t xml:space="preserve">  </w:t>
      </w:r>
      <w:r>
        <w:rPr>
          <w:rFonts w:hint="eastAsia"/>
          <w:color w:val="000000"/>
          <w:spacing w:val="4"/>
          <w:szCs w:val="32"/>
        </w:rPr>
        <w:t>个人所有的</w:t>
      </w:r>
      <w:r>
        <w:rPr>
          <w:color w:val="000000"/>
          <w:spacing w:val="4"/>
          <w:szCs w:val="32"/>
        </w:rPr>
        <w:t>非机动车免费登记发放号牌。</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公安机关交通管理部门应当对互联网租赁电动自行车核发专用号牌。</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第十</w:t>
      </w:r>
      <w:r>
        <w:rPr>
          <w:rFonts w:hint="eastAsia" w:eastAsia="黑体"/>
          <w:color w:val="000000"/>
          <w:szCs w:val="32"/>
        </w:rPr>
        <w:t>一</w:t>
      </w:r>
      <w:r>
        <w:rPr>
          <w:rFonts w:eastAsia="黑体"/>
          <w:color w:val="000000"/>
          <w:szCs w:val="32"/>
        </w:rPr>
        <w:t>条</w:t>
      </w:r>
      <w:r>
        <w:rPr>
          <w:rFonts w:hint="eastAsia" w:eastAsia="黑体"/>
          <w:color w:val="000000"/>
          <w:szCs w:val="32"/>
        </w:rPr>
        <w:t xml:space="preserve">  </w:t>
      </w:r>
      <w:r>
        <w:rPr>
          <w:color w:val="000000"/>
          <w:szCs w:val="32"/>
        </w:rPr>
        <w:t>不符合相关标准的电动自行车，已按照有关规定在本市取得临时通行</w:t>
      </w:r>
      <w:r>
        <w:rPr>
          <w:rFonts w:hint="eastAsia"/>
          <w:color w:val="000000"/>
          <w:szCs w:val="32"/>
        </w:rPr>
        <w:t>标识</w:t>
      </w:r>
      <w:r>
        <w:rPr>
          <w:color w:val="000000"/>
          <w:szCs w:val="32"/>
        </w:rPr>
        <w:t>的，以及在外地取得临时通行</w:t>
      </w:r>
      <w:r>
        <w:rPr>
          <w:rFonts w:hint="eastAsia"/>
          <w:color w:val="000000"/>
          <w:szCs w:val="32"/>
        </w:rPr>
        <w:t>标识</w:t>
      </w:r>
      <w:r>
        <w:rPr>
          <w:color w:val="000000"/>
          <w:szCs w:val="32"/>
        </w:rPr>
        <w:t>且在有效期内的，</w:t>
      </w:r>
      <w:r>
        <w:rPr>
          <w:rFonts w:hint="eastAsia"/>
          <w:color w:val="000000"/>
          <w:szCs w:val="32"/>
        </w:rPr>
        <w:t>超过本市规定临时通行期限的，</w:t>
      </w:r>
      <w:r>
        <w:rPr>
          <w:color w:val="000000"/>
          <w:szCs w:val="32"/>
        </w:rPr>
        <w:t>不得上道路行驶。</w:t>
      </w:r>
      <w:r>
        <w:rPr>
          <w:rFonts w:hint="eastAsia"/>
          <w:color w:val="000000"/>
          <w:szCs w:val="32"/>
        </w:rPr>
        <w:t xml:space="preserve"> </w:t>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hint="eastAsia" w:eastAsia="黑体"/>
          <w:color w:val="000000"/>
          <w:szCs w:val="32"/>
        </w:rPr>
        <w:t>第</w:t>
      </w:r>
      <w:r>
        <w:rPr>
          <w:rFonts w:eastAsia="黑体"/>
          <w:color w:val="000000"/>
          <w:szCs w:val="32"/>
        </w:rPr>
        <w:t>三章  通行管理</w:t>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第十</w:t>
      </w:r>
      <w:r>
        <w:rPr>
          <w:rFonts w:hint="eastAsia" w:eastAsia="黑体"/>
          <w:color w:val="000000"/>
          <w:szCs w:val="32"/>
        </w:rPr>
        <w:t>二</w:t>
      </w:r>
      <w:r>
        <w:rPr>
          <w:rFonts w:eastAsia="黑体"/>
          <w:color w:val="000000"/>
          <w:szCs w:val="32"/>
        </w:rPr>
        <w:t>条</w:t>
      </w:r>
      <w:r>
        <w:rPr>
          <w:rFonts w:hint="eastAsia" w:eastAsia="黑体"/>
          <w:color w:val="000000"/>
          <w:szCs w:val="32"/>
        </w:rPr>
        <w:t xml:space="preserve">  </w:t>
      </w:r>
      <w:r>
        <w:rPr>
          <w:color w:val="000000"/>
          <w:szCs w:val="32"/>
        </w:rPr>
        <w:t>新建城市道路，应当按照国家有关标准同步规划、建设非机动车道，并设置标</w:t>
      </w:r>
      <w:r>
        <w:rPr>
          <w:rFonts w:hint="eastAsia"/>
          <w:color w:val="000000"/>
          <w:szCs w:val="32"/>
        </w:rPr>
        <w:t>识</w:t>
      </w:r>
      <w:r>
        <w:rPr>
          <w:color w:val="000000"/>
          <w:szCs w:val="32"/>
        </w:rPr>
        <w:t>标线。</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已建成城市道路，未设置非机动车道的</w:t>
      </w:r>
      <w:r>
        <w:rPr>
          <w:color w:val="000000"/>
          <w:szCs w:val="32"/>
        </w:rPr>
        <w:t>，有关部门</w:t>
      </w:r>
      <w:r>
        <w:rPr>
          <w:rFonts w:hint="eastAsia"/>
          <w:color w:val="000000"/>
          <w:szCs w:val="32"/>
        </w:rPr>
        <w:t>应当根据需要</w:t>
      </w:r>
      <w:r>
        <w:rPr>
          <w:color w:val="000000"/>
          <w:szCs w:val="32"/>
        </w:rPr>
        <w:t>调整或者改建非机动车道，并</w:t>
      </w:r>
      <w:r>
        <w:rPr>
          <w:rFonts w:hint="eastAsia"/>
          <w:color w:val="000000"/>
          <w:szCs w:val="32"/>
        </w:rPr>
        <w:t>配套完善交通设施</w:t>
      </w:r>
      <w:r>
        <w:rPr>
          <w:color w:val="000000"/>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公安机关交通管理部门应当根据交通流量、安全状况，组织有关部门对具备条件的道路路口设置右转危险区域，并</w:t>
      </w:r>
      <w:r>
        <w:rPr>
          <w:rFonts w:hint="eastAsia"/>
          <w:color w:val="000000"/>
          <w:szCs w:val="32"/>
        </w:rPr>
        <w:t>配套</w:t>
      </w:r>
      <w:r>
        <w:rPr>
          <w:color w:val="000000"/>
          <w:szCs w:val="32"/>
        </w:rPr>
        <w:t>完善交通设施。</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u w:val="double"/>
        </w:rPr>
      </w:pPr>
      <w:r>
        <w:rPr>
          <w:rFonts w:eastAsia="黑体"/>
          <w:color w:val="000000"/>
          <w:szCs w:val="32"/>
        </w:rPr>
        <w:t>第十</w:t>
      </w:r>
      <w:r>
        <w:rPr>
          <w:rFonts w:hint="eastAsia" w:eastAsia="黑体"/>
          <w:color w:val="000000"/>
          <w:szCs w:val="32"/>
        </w:rPr>
        <w:t>三</w:t>
      </w:r>
      <w:r>
        <w:rPr>
          <w:rFonts w:eastAsia="黑体"/>
          <w:color w:val="000000"/>
          <w:szCs w:val="32"/>
        </w:rPr>
        <w:t>条</w:t>
      </w:r>
      <w:r>
        <w:rPr>
          <w:rFonts w:hint="eastAsia" w:eastAsia="黑体"/>
          <w:color w:val="000000"/>
          <w:szCs w:val="32"/>
        </w:rPr>
        <w:t xml:space="preserve">  </w:t>
      </w:r>
      <w:r>
        <w:rPr>
          <w:color w:val="000000"/>
          <w:szCs w:val="32"/>
        </w:rPr>
        <w:t>驾驶电动自行车、残疾人机动轮椅车上道路行驶，应当按照规定</w:t>
      </w:r>
      <w:r>
        <w:rPr>
          <w:rFonts w:hint="eastAsia"/>
          <w:color w:val="000000"/>
          <w:szCs w:val="32"/>
        </w:rPr>
        <w:t>安装</w:t>
      </w:r>
      <w:r>
        <w:rPr>
          <w:color w:val="000000"/>
          <w:szCs w:val="32"/>
        </w:rPr>
        <w:t>号牌，并保持号牌完整、清晰，不得污损、遮挡、倒置。</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驾驶非机动车上道路行驶</w:t>
      </w:r>
      <w:r>
        <w:rPr>
          <w:rFonts w:hint="eastAsia"/>
          <w:color w:val="000000"/>
          <w:szCs w:val="32"/>
        </w:rPr>
        <w:t>，</w:t>
      </w:r>
      <w:r>
        <w:rPr>
          <w:color w:val="000000"/>
          <w:szCs w:val="32"/>
        </w:rPr>
        <w:t>应当遵守下列规定：</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（一）遵守交通信号，服从交通管理人员的指挥；</w:t>
      </w:r>
    </w:p>
    <w:p>
      <w:pPr>
        <w:pStyle w:val="Default"/>
        <w:keepNext w:val="false"/>
        <w:keepLines w:val="false"/>
        <w:pageBreakBefore w:val="false"/>
        <w:widowControl w:val="false"/>
        <w:kinsoku w:val="true"/>
        <w:overflowPunct w:val="fals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（二）在非机动车道内行驶，没有非机动车道的，靠车行道的右侧行驶；</w:t>
      </w:r>
    </w:p>
    <w:p>
      <w:pPr>
        <w:pStyle w:val="Default"/>
        <w:keepNext w:val="false"/>
        <w:keepLines w:val="false"/>
        <w:pageBreakBefore w:val="false"/>
        <w:widowControl w:val="false"/>
        <w:kinsoku w:val="true"/>
        <w:overflowPunct w:val="false"/>
        <w:bidi w:val="0"/>
        <w:snapToGrid w:val="true"/>
        <w:spacing w:lineRule="auto" w:line="24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（三）遇红灯时，在非机动车停止线内有序等候；</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四</w:t>
      </w:r>
      <w:r>
        <w:rPr>
          <w:color w:val="000000"/>
          <w:szCs w:val="32"/>
        </w:rPr>
        <w:t>）电动自行车驾驶人和乘坐人佩戴安全头盔；</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五</w:t>
      </w:r>
      <w:r>
        <w:rPr>
          <w:color w:val="000000"/>
          <w:szCs w:val="32"/>
        </w:rPr>
        <w:t>）遇行人正在通过人行横道时，停车让行；</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rFonts w:eastAsia="黑体"/>
          <w:color w:val="000000"/>
          <w:szCs w:val="32"/>
        </w:rPr>
      </w:pPr>
      <w:r>
        <w:rPr>
          <w:color w:val="000000"/>
          <w:szCs w:val="32"/>
        </w:rPr>
        <w:t>（</w:t>
      </w:r>
      <w:r>
        <w:rPr>
          <w:rFonts w:hint="eastAsia"/>
          <w:color w:val="000000"/>
          <w:szCs w:val="32"/>
        </w:rPr>
        <w:t>六</w:t>
      </w:r>
      <w:r>
        <w:rPr>
          <w:color w:val="000000"/>
          <w:szCs w:val="32"/>
        </w:rPr>
        <w:t>）载物时采取加固措施，防止物品散落；</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七</w:t>
      </w:r>
      <w:r>
        <w:rPr>
          <w:color w:val="000000"/>
          <w:szCs w:val="32"/>
        </w:rPr>
        <w:t>）电动自行车、残疾人机动轮椅车在夜间或者遇有雨、雪、雾、沙尘、冰雹等低能见度情况下行驶时，开启照明装置</w:t>
      </w:r>
      <w:r>
        <w:rPr>
          <w:rFonts w:hint="eastAsia"/>
          <w:color w:val="000000"/>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（八）法律</w:t>
      </w:r>
      <w:r>
        <w:rPr>
          <w:rFonts w:hint="eastAsia"/>
          <w:color w:val="000000"/>
          <w:szCs w:val="32"/>
        </w:rPr>
        <w:t>、</w:t>
      </w:r>
      <w:r>
        <w:rPr>
          <w:color w:val="000000"/>
          <w:szCs w:val="32"/>
        </w:rPr>
        <w:t>法规的其他通行规定。</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十四</w:t>
      </w:r>
      <w:r>
        <w:rPr>
          <w:rFonts w:eastAsia="黑体"/>
          <w:color w:val="000000"/>
          <w:szCs w:val="32"/>
        </w:rPr>
        <w:t>条</w:t>
      </w:r>
      <w:r>
        <w:rPr>
          <w:rFonts w:hint="eastAsia" w:eastAsia="黑体"/>
          <w:color w:val="000000"/>
          <w:szCs w:val="32"/>
        </w:rPr>
        <w:t xml:space="preserve">  </w:t>
      </w:r>
      <w:r>
        <w:rPr>
          <w:color w:val="000000"/>
          <w:szCs w:val="32"/>
        </w:rPr>
        <w:t>禁止驾驶拼装、加装、改装的</w:t>
      </w:r>
      <w:r>
        <w:rPr>
          <w:rFonts w:hint="eastAsia"/>
          <w:color w:val="000000"/>
          <w:szCs w:val="32"/>
        </w:rPr>
        <w:t>电动自行车</w:t>
      </w:r>
      <w:r>
        <w:rPr>
          <w:color w:val="000000"/>
          <w:szCs w:val="32"/>
        </w:rPr>
        <w:t>上道路行驶。</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驾驶非机动车上道路行驶，不得有下列行为：</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一</w:t>
      </w:r>
      <w:r>
        <w:rPr>
          <w:color w:val="000000"/>
          <w:szCs w:val="32"/>
        </w:rPr>
        <w:t>）逆向行驶；</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二</w:t>
      </w:r>
      <w:r>
        <w:rPr>
          <w:color w:val="000000"/>
          <w:szCs w:val="32"/>
        </w:rPr>
        <w:t>）醉酒驾驶</w:t>
      </w:r>
      <w:r>
        <w:rPr>
          <w:rFonts w:hint="eastAsia"/>
          <w:color w:val="000000"/>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三</w:t>
      </w:r>
      <w:r>
        <w:rPr>
          <w:color w:val="000000"/>
          <w:szCs w:val="32"/>
        </w:rPr>
        <w:t>）驶入高速公路、高架道路、隧道或者未设置非机动车道的城市快速路、桥梁、下穿道路；</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四</w:t>
      </w:r>
      <w:r>
        <w:rPr>
          <w:color w:val="000000"/>
          <w:szCs w:val="32"/>
        </w:rPr>
        <w:t>）牵引动物、</w:t>
      </w:r>
      <w:r>
        <w:rPr>
          <w:rFonts w:hint="eastAsia"/>
          <w:color w:val="000000"/>
          <w:szCs w:val="32"/>
        </w:rPr>
        <w:t>以手持方式</w:t>
      </w:r>
      <w:r>
        <w:rPr>
          <w:color w:val="000000"/>
          <w:szCs w:val="32"/>
        </w:rPr>
        <w:t>拨打或</w:t>
      </w:r>
      <w:r>
        <w:rPr>
          <w:rFonts w:hint="eastAsia"/>
          <w:color w:val="000000"/>
          <w:szCs w:val="32"/>
        </w:rPr>
        <w:t>者</w:t>
      </w:r>
      <w:r>
        <w:rPr>
          <w:color w:val="000000"/>
          <w:szCs w:val="32"/>
        </w:rPr>
        <w:t>接听电话、浏览电子设备等影响安全驾驶的行为；</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五</w:t>
      </w:r>
      <w:r>
        <w:rPr>
          <w:color w:val="000000"/>
          <w:szCs w:val="32"/>
        </w:rPr>
        <w:t>）</w:t>
      </w:r>
      <w:r>
        <w:rPr>
          <w:rFonts w:hint="eastAsia"/>
          <w:color w:val="000000"/>
          <w:szCs w:val="32"/>
        </w:rPr>
        <w:t>违反规定</w:t>
      </w:r>
      <w:r>
        <w:rPr>
          <w:color w:val="000000"/>
          <w:szCs w:val="32"/>
        </w:rPr>
        <w:t>载运爆炸物品、易燃易爆化学物品以及剧毒、放射性等危险物品；</w:t>
      </w:r>
    </w:p>
    <w:p>
      <w:pPr>
        <w:pStyle w:val="Default"/>
        <w:keepNext w:val="false"/>
        <w:keepLines w:val="false"/>
        <w:pageBreakBefore w:val="false"/>
        <w:widowControl w:val="false"/>
        <w:kinsoku w:val="true"/>
        <w:overflowPunct w:val="false"/>
        <w:bidi w:val="0"/>
        <w:snapToGrid w:val="true"/>
        <w:spacing w:lineRule="auto" w:line="240"/>
        <w:ind w:firstLineChars="200" w:startChars="0" w:start="0" w:endChars="0" w:end="0"/>
        <w:jc w:val="both"/>
        <w:textAlignment w:val="auto"/>
        <w:rPr>
          <w:rFonts w:ascii="Times New Roman" w:hAnsi="Times New Roman" w:cs="Times New Roman"/>
        </w:rPr>
      </w:pPr>
      <w:r>
        <w:rPr>
          <w:rFonts w:ascii="Times New Roman" w:hAnsi="Times New Roman" w:cs="Times New Roman" w:eastAsia="仿宋_GB2312"/>
          <w:sz w:val="32"/>
          <w:szCs w:val="32"/>
        </w:rPr>
        <w:t>（</w:t>
      </w:r>
      <w:r>
        <w:rPr>
          <w:rFonts w:ascii="Times New Roman" w:hAnsi="Times New Roman" w:cs="Times New Roman" w:eastAsia="仿宋_GB2312"/>
          <w:sz w:val="32"/>
          <w:szCs w:val="32"/>
        </w:rPr>
        <w:t>六</w:t>
      </w:r>
      <w:r>
        <w:rPr>
          <w:rFonts w:ascii="Times New Roman" w:hAnsi="Times New Roman" w:cs="Times New Roman" w:eastAsia="仿宋_GB2312"/>
          <w:sz w:val="32"/>
          <w:szCs w:val="32"/>
        </w:rPr>
        <w:t>）</w:t>
      </w:r>
      <w:r>
        <w:rPr>
          <w:rFonts w:ascii="Times New Roman" w:hAnsi="Times New Roman" w:cs="Times New Roman" w:eastAsia="仿宋_GB2312"/>
          <w:kern w:val="2"/>
          <w:sz w:val="32"/>
          <w:szCs w:val="32"/>
        </w:rPr>
        <w:t>法律、法规规定的其他禁止行为</w:t>
      </w:r>
      <w:r>
        <w:rPr>
          <w:rFonts w:ascii="Times New Roman" w:hAnsi="Times New Roman" w:cs="Times New Roman" w:eastAsia="仿宋_GB2312"/>
          <w:sz w:val="32"/>
          <w:szCs w:val="32"/>
        </w:rPr>
        <w:t>。</w:t>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ascii="Times New Roman" w:hAnsi="Times New Roman" w:eastAsia="黑体" w:cs="Times New Roman"/>
          <w:color w:val="000000"/>
          <w:szCs w:val="32"/>
        </w:rPr>
      </w:pPr>
      <w:r>
        <w:rPr>
          <w:rFonts w:eastAsia="黑体" w:cs="Times New Roman"/>
          <w:color w:val="000000"/>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t>第四章  停放和充电管理</w:t>
      </w:r>
    </w:p>
    <w:p>
      <w:pPr>
        <w:pStyle w:val="0"/>
        <w:keepNext w:val="false"/>
        <w:keepLines w:val="false"/>
        <w:pageBreakBefore w:val="false"/>
        <w:widowControl w:val="false"/>
        <w:kinsoku w:val="true"/>
        <w:overflowPunct w:val="false"/>
        <w:bidi w:val="0"/>
        <w:snapToGrid w:val="true"/>
        <w:spacing w:lineRule="auto" w:line="240"/>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第十</w:t>
      </w:r>
      <w:r>
        <w:rPr>
          <w:rFonts w:hint="eastAsia" w:eastAsia="黑体"/>
          <w:color w:val="000000"/>
          <w:szCs w:val="32"/>
        </w:rPr>
        <w:t>五</w:t>
      </w:r>
      <w:r>
        <w:rPr>
          <w:rFonts w:eastAsia="黑体"/>
          <w:color w:val="000000"/>
          <w:szCs w:val="32"/>
        </w:rPr>
        <w:t>条</w:t>
      </w:r>
      <w:r>
        <w:rPr>
          <w:rFonts w:hint="eastAsia" w:eastAsia="黑体"/>
          <w:color w:val="000000"/>
          <w:szCs w:val="32"/>
        </w:rPr>
        <w:t xml:space="preserve">  </w:t>
      </w:r>
      <w:r>
        <w:rPr>
          <w:color w:val="000000"/>
          <w:szCs w:val="32"/>
        </w:rPr>
        <w:t>县</w:t>
      </w:r>
      <w:r>
        <w:rPr>
          <w:color w:val="000000"/>
          <w:spacing w:val="-4"/>
          <w:szCs w:val="32"/>
        </w:rPr>
        <w:t>（市）区人民政府应当组织有关部门划定本辖区的非机动车停放场地，设置明显标识。有条件的场地，可以配置电动自行车充电换电设施，有关部门应当支持开展充</w:t>
      </w:r>
      <w:r>
        <w:rPr>
          <w:rFonts w:hint="eastAsia"/>
          <w:color w:val="000000"/>
          <w:spacing w:val="-4"/>
          <w:szCs w:val="32"/>
        </w:rPr>
        <w:t>电</w:t>
      </w:r>
      <w:r>
        <w:rPr>
          <w:color w:val="000000"/>
          <w:spacing w:val="-4"/>
          <w:szCs w:val="32"/>
        </w:rPr>
        <w:t>换电服务。</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非</w:t>
      </w:r>
      <w:r>
        <w:rPr>
          <w:color w:val="000000"/>
          <w:spacing w:val="-4"/>
          <w:szCs w:val="32"/>
        </w:rPr>
        <w:t>机动车应当按照指定地点有序停放。未设置停放地点的，非机动车停放不得</w:t>
      </w:r>
      <w:r>
        <w:rPr>
          <w:rFonts w:hint="eastAsia"/>
          <w:color w:val="000000"/>
          <w:spacing w:val="-4"/>
          <w:szCs w:val="32"/>
        </w:rPr>
        <w:t>影响道路通行、占用或者影响公共设施的使用</w:t>
      </w:r>
      <w:r>
        <w:rPr>
          <w:color w:val="000000"/>
          <w:spacing w:val="-4"/>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第十</w:t>
      </w:r>
      <w:r>
        <w:rPr>
          <w:rFonts w:hint="eastAsia" w:eastAsia="黑体"/>
          <w:color w:val="000000"/>
          <w:szCs w:val="32"/>
        </w:rPr>
        <w:t>六</w:t>
      </w:r>
      <w:r>
        <w:rPr>
          <w:rFonts w:eastAsia="黑体"/>
          <w:color w:val="000000"/>
          <w:szCs w:val="32"/>
        </w:rPr>
        <w:t>条</w:t>
      </w:r>
      <w:r>
        <w:rPr>
          <w:rFonts w:hint="eastAsia" w:eastAsia="黑体"/>
          <w:color w:val="000000"/>
          <w:szCs w:val="32"/>
        </w:rPr>
        <w:t xml:space="preserve">  </w:t>
      </w:r>
      <w:r>
        <w:rPr>
          <w:color w:val="000000"/>
          <w:szCs w:val="32"/>
        </w:rPr>
        <w:t>国家机关、企业事业单位、社会团体、个体工商户等，应当维护其市容和环境卫生责任区范围内的非机动车停车秩序；对随意停放非机动车的，</w:t>
      </w:r>
      <w:r>
        <w:rPr>
          <w:rFonts w:hint="eastAsia"/>
          <w:color w:val="000000"/>
          <w:szCs w:val="32"/>
        </w:rPr>
        <w:t>有权</w:t>
      </w:r>
      <w:r>
        <w:rPr>
          <w:color w:val="000000"/>
          <w:szCs w:val="32"/>
        </w:rPr>
        <w:t>予以劝阻，引导其停放至非机动车停放场地，劝阻无效的，可以向公安</w:t>
      </w:r>
      <w:r>
        <w:rPr>
          <w:rFonts w:hint="eastAsia"/>
          <w:color w:val="000000"/>
          <w:szCs w:val="32"/>
        </w:rPr>
        <w:t>机关</w:t>
      </w:r>
      <w:r>
        <w:rPr>
          <w:color w:val="000000"/>
          <w:szCs w:val="32"/>
        </w:rPr>
        <w:t>、城市管理部门举报，公安</w:t>
      </w:r>
      <w:r>
        <w:rPr>
          <w:rFonts w:hint="eastAsia"/>
          <w:color w:val="000000"/>
          <w:szCs w:val="32"/>
        </w:rPr>
        <w:t>机关</w:t>
      </w:r>
      <w:r>
        <w:rPr>
          <w:color w:val="000000"/>
          <w:szCs w:val="32"/>
        </w:rPr>
        <w:t>、城市管理部门应当及时处理。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第十</w:t>
      </w:r>
      <w:r>
        <w:rPr>
          <w:rFonts w:hint="eastAsia" w:eastAsia="黑体"/>
          <w:color w:val="000000"/>
          <w:szCs w:val="32"/>
        </w:rPr>
        <w:t>七</w:t>
      </w:r>
      <w:r>
        <w:rPr>
          <w:rFonts w:eastAsia="黑体"/>
          <w:color w:val="000000"/>
          <w:szCs w:val="32"/>
        </w:rPr>
        <w:t>条</w:t>
      </w:r>
      <w:r>
        <w:rPr>
          <w:rFonts w:hint="eastAsia" w:eastAsia="黑体"/>
          <w:color w:val="000000"/>
          <w:szCs w:val="32"/>
        </w:rPr>
        <w:t xml:space="preserve">  </w:t>
      </w:r>
      <w:r>
        <w:rPr>
          <w:color w:val="000000"/>
          <w:szCs w:val="32"/>
        </w:rPr>
        <w:t>下列区域不得停放非机动车：</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（一）消防车通道、消防车登高操作场地、疏散通道、安全出口、公交</w:t>
      </w:r>
      <w:r>
        <w:rPr>
          <w:rFonts w:hint="eastAsia"/>
          <w:color w:val="000000"/>
          <w:szCs w:val="32"/>
        </w:rPr>
        <w:t>及轨道交通</w:t>
      </w:r>
      <w:r>
        <w:rPr>
          <w:color w:val="000000"/>
          <w:szCs w:val="32"/>
        </w:rPr>
        <w:t>站点等公共设施处；</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（二）公共场所出入口；</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（三）机动车道、非机动车道；</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（四）未划定停放区域的人行道；</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五</w:t>
      </w:r>
      <w:r>
        <w:rPr>
          <w:color w:val="000000"/>
          <w:szCs w:val="32"/>
        </w:rPr>
        <w:t>）法律</w:t>
      </w:r>
      <w:r>
        <w:rPr>
          <w:rFonts w:hint="eastAsia"/>
          <w:color w:val="000000"/>
          <w:szCs w:val="32"/>
        </w:rPr>
        <w:t>、</w:t>
      </w:r>
      <w:r>
        <w:rPr>
          <w:color w:val="000000"/>
          <w:szCs w:val="32"/>
        </w:rPr>
        <w:t>法规规定其他禁止停放的区域。</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十八</w:t>
      </w:r>
      <w:r>
        <w:rPr>
          <w:rFonts w:eastAsia="黑体"/>
          <w:color w:val="000000"/>
          <w:szCs w:val="32"/>
        </w:rPr>
        <w:t>条</w:t>
      </w:r>
      <w:r>
        <w:rPr>
          <w:rFonts w:hint="eastAsia" w:eastAsia="黑体"/>
          <w:color w:val="000000"/>
          <w:szCs w:val="32"/>
        </w:rPr>
        <w:t xml:space="preserve">  </w:t>
      </w:r>
      <w:r>
        <w:rPr>
          <w:color w:val="000000"/>
          <w:szCs w:val="32"/>
        </w:rPr>
        <w:t>客运车站</w:t>
      </w:r>
      <w:r>
        <w:rPr>
          <w:rFonts w:hint="eastAsia"/>
          <w:color w:val="000000"/>
          <w:szCs w:val="32"/>
        </w:rPr>
        <w:t>、轨道交通站点</w:t>
      </w:r>
      <w:r>
        <w:rPr>
          <w:color w:val="000000"/>
          <w:szCs w:val="32"/>
        </w:rPr>
        <w:t>等交通集散地以及医院、学校、商场、写字楼、集贸市场、步行街、影剧院、体育场馆、展览馆、旅游景点等人员流动较多的公共场所，应当在规划建设阶段同步配套规划建设非机动车停放场所。未同步配套规划建设的，其所有人或者管理人应当设置非机动车停放场地。</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hint="eastAsia"/>
          <w:color w:val="000000"/>
          <w:szCs w:val="32"/>
        </w:rPr>
        <w:t>国家</w:t>
      </w:r>
      <w:r>
        <w:rPr>
          <w:color w:val="000000"/>
          <w:szCs w:val="32"/>
        </w:rPr>
        <w:t>机关、企</w:t>
      </w:r>
      <w:r>
        <w:rPr>
          <w:rFonts w:hint="eastAsia"/>
          <w:color w:val="000000"/>
          <w:szCs w:val="32"/>
        </w:rPr>
        <w:t>业</w:t>
      </w:r>
      <w:r>
        <w:rPr>
          <w:color w:val="000000"/>
          <w:szCs w:val="32"/>
        </w:rPr>
        <w:t>事业单位以及住宅小区、商业楼宇的管理单位应当为网络餐饮</w:t>
      </w:r>
      <w:r>
        <w:rPr>
          <w:rFonts w:hint="eastAsia"/>
          <w:color w:val="000000"/>
          <w:szCs w:val="32"/>
        </w:rPr>
        <w:t>外卖</w:t>
      </w:r>
      <w:r>
        <w:rPr>
          <w:color w:val="000000"/>
          <w:szCs w:val="32"/>
        </w:rPr>
        <w:t>和快递服务配送车辆提供便利。</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十九</w:t>
      </w:r>
      <w:r>
        <w:rPr>
          <w:rFonts w:eastAsia="黑体"/>
          <w:color w:val="000000"/>
          <w:szCs w:val="32"/>
        </w:rPr>
        <w:t>条</w:t>
      </w:r>
      <w:r>
        <w:rPr>
          <w:rFonts w:hint="eastAsia" w:eastAsia="黑体"/>
          <w:color w:val="000000"/>
          <w:szCs w:val="32"/>
        </w:rPr>
        <w:t xml:space="preserve">  </w:t>
      </w:r>
      <w:r>
        <w:rPr>
          <w:color w:val="000000"/>
          <w:szCs w:val="32"/>
        </w:rPr>
        <w:t>新建、改建、扩建住宅小区，应当按照有关规定配套建设非机动车集中停放场所</w:t>
      </w:r>
      <w:r>
        <w:rPr>
          <w:rFonts w:hint="eastAsia"/>
          <w:color w:val="000000"/>
          <w:szCs w:val="32"/>
        </w:rPr>
        <w:t>以</w:t>
      </w:r>
      <w:r>
        <w:rPr>
          <w:color w:val="000000"/>
          <w:szCs w:val="32"/>
        </w:rPr>
        <w:t>及充电设施。</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市、县（市）区人民政府应当采取措施，推动已建成的住宅小区</w:t>
      </w:r>
      <w:r>
        <w:rPr>
          <w:rFonts w:hint="eastAsia"/>
          <w:color w:val="000000"/>
          <w:szCs w:val="32"/>
        </w:rPr>
        <w:t>配套建设</w:t>
      </w:r>
      <w:r>
        <w:rPr>
          <w:color w:val="000000"/>
          <w:szCs w:val="32"/>
        </w:rPr>
        <w:t>非机动车集中停放场所</w:t>
      </w:r>
      <w:r>
        <w:rPr>
          <w:rFonts w:hint="eastAsia"/>
          <w:color w:val="000000"/>
          <w:szCs w:val="32"/>
        </w:rPr>
        <w:t>以</w:t>
      </w:r>
      <w:r>
        <w:rPr>
          <w:color w:val="000000"/>
          <w:szCs w:val="32"/>
        </w:rPr>
        <w:t>及充电设施。</w:t>
      </w:r>
    </w:p>
    <w:p>
      <w:pPr>
        <w:pStyle w:val="Default"/>
        <w:keepNext w:val="false"/>
        <w:keepLines w:val="false"/>
        <w:pageBreakBefore w:val="false"/>
        <w:widowControl w:val="false"/>
        <w:kinsoku w:val="true"/>
        <w:bidi w:val="0"/>
        <w:snapToGrid w:val="true"/>
        <w:spacing w:lineRule="auto" w:line="240"/>
        <w:ind w:firstLine="640" w:end="0"/>
        <w:textAlignment w:val="auto"/>
        <w:rPr>
          <w:rFonts w:ascii="Times New Roman" w:hAnsi="Times New Roman" w:eastAsia="黑体" w:cs="黑体"/>
          <w:sz w:val="32"/>
          <w:szCs w:val="32"/>
        </w:rPr>
      </w:pPr>
      <w:r>
        <w:rPr>
          <w:rFonts w:ascii="Times New Roman" w:hAnsi="Times New Roman" w:cs="黑体" w:eastAsia="黑体"/>
          <w:sz w:val="32"/>
          <w:szCs w:val="32"/>
        </w:rPr>
        <w:t>第</w:t>
      </w:r>
      <w:r>
        <w:rPr>
          <w:rFonts w:ascii="Times New Roman" w:hAnsi="Times New Roman" w:cs="Times New Roman" w:eastAsia="黑体"/>
          <w:kern w:val="2"/>
          <w:sz w:val="32"/>
          <w:szCs w:val="32"/>
        </w:rPr>
        <w:t>二十</w:t>
      </w:r>
      <w:r>
        <w:rPr>
          <w:rFonts w:ascii="Times New Roman" w:hAnsi="Times New Roman" w:cs="黑体" w:eastAsia="黑体"/>
          <w:sz w:val="32"/>
          <w:szCs w:val="32"/>
        </w:rPr>
        <w:t xml:space="preserve">条  </w:t>
      </w:r>
      <w:r>
        <w:rPr>
          <w:rFonts w:ascii="Times New Roman" w:hAnsi="Times New Roman" w:cs="Times New Roman" w:eastAsia="仿宋_GB2312"/>
          <w:sz w:val="32"/>
          <w:szCs w:val="32"/>
        </w:rPr>
        <w:t>电动自行车充电时应当确保安全，不得</w:t>
      </w:r>
      <w:r>
        <w:rPr>
          <w:rFonts w:ascii="Times New Roman" w:hAnsi="Times New Roman" w:cs="Times New Roman" w:eastAsia="仿宋_GB2312"/>
          <w:kern w:val="2"/>
          <w:sz w:val="32"/>
          <w:szCs w:val="32"/>
        </w:rPr>
        <w:t>违反用电安全要求私</w:t>
      </w:r>
      <w:r>
        <w:rPr>
          <w:rFonts w:ascii="Times New Roman" w:hAnsi="Times New Roman" w:cs="Times New Roman" w:eastAsia="仿宋_GB2312"/>
          <w:sz w:val="32"/>
          <w:szCs w:val="32"/>
        </w:rPr>
        <w:t>拉电线和插座充电。</w:t>
      </w:r>
    </w:p>
    <w:p>
      <w:pPr>
        <w:pStyle w:val="Default"/>
        <w:keepNext w:val="false"/>
        <w:keepLines w:val="false"/>
        <w:pageBreakBefore w:val="false"/>
        <w:widowControl w:val="false"/>
        <w:kinsoku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物业服务企业应当加强物业</w:t>
      </w:r>
      <w:r>
        <w:rPr>
          <w:rFonts w:ascii="Times New Roman" w:hAnsi="Times New Roman" w:cs="Times New Roman" w:eastAsia="仿宋_GB2312"/>
          <w:kern w:val="2"/>
          <w:sz w:val="32"/>
          <w:szCs w:val="32"/>
        </w:rPr>
        <w:t>管理</w:t>
      </w:r>
      <w:r>
        <w:rPr>
          <w:rFonts w:ascii="Times New Roman" w:hAnsi="Times New Roman" w:cs="Times New Roman" w:eastAsia="仿宋_GB2312"/>
          <w:sz w:val="32"/>
          <w:szCs w:val="32"/>
        </w:rPr>
        <w:t>区域内电动自行车停放、充电的管理，开展日常巡查和安全用电宣传，对</w:t>
      </w:r>
      <w:r>
        <w:rPr>
          <w:rFonts w:ascii="Times New Roman" w:hAnsi="Times New Roman" w:cs="Times New Roman" w:eastAsia="仿宋_GB2312"/>
          <w:kern w:val="2"/>
          <w:sz w:val="32"/>
          <w:szCs w:val="32"/>
        </w:rPr>
        <w:t>违反用电安全要求私</w:t>
      </w:r>
      <w:r>
        <w:rPr>
          <w:rFonts w:ascii="Times New Roman" w:hAnsi="Times New Roman" w:cs="Times New Roman" w:eastAsia="仿宋_GB2312"/>
          <w:sz w:val="32"/>
          <w:szCs w:val="32"/>
        </w:rPr>
        <w:t>拉电线和插座充电的，应当及时劝阻；不听劝阻的，应当及时</w:t>
      </w:r>
      <w:r>
        <w:rPr>
          <w:rFonts w:ascii="Times New Roman" w:hAnsi="Times New Roman" w:cs="Times New Roman" w:eastAsia="仿宋_GB2312"/>
          <w:kern w:val="2"/>
          <w:sz w:val="32"/>
          <w:szCs w:val="32"/>
        </w:rPr>
        <w:t>向公安、消防救援机构、城市管理等有</w:t>
      </w:r>
      <w:r>
        <w:rPr>
          <w:rFonts w:ascii="Times New Roman" w:hAnsi="Times New Roman" w:cs="Times New Roman" w:eastAsia="仿宋_GB2312"/>
          <w:sz w:val="32"/>
          <w:szCs w:val="32"/>
        </w:rPr>
        <w:t>关部门报告。</w:t>
      </w:r>
    </w:p>
    <w:p>
      <w:pPr>
        <w:pStyle w:val="Default"/>
        <w:keepNext w:val="false"/>
        <w:keepLines w:val="false"/>
        <w:pageBreakBefore w:val="false"/>
        <w:widowControl w:val="false"/>
        <w:kinsoku w:val="true"/>
        <w:bidi w:val="0"/>
        <w:snapToGrid w:val="true"/>
        <w:spacing w:lineRule="auto" w:line="240"/>
        <w:ind w:firstLine="64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未实行物业管理</w:t>
      </w:r>
      <w:r>
        <w:rPr>
          <w:rFonts w:ascii="Times New Roman" w:hAnsi="Times New Roman" w:cs="Times New Roman" w:eastAsia="仿宋_GB2312"/>
          <w:kern w:val="2"/>
          <w:sz w:val="32"/>
          <w:szCs w:val="32"/>
        </w:rPr>
        <w:t>或者</w:t>
      </w:r>
      <w:r>
        <w:rPr>
          <w:rFonts w:ascii="Times New Roman" w:hAnsi="Times New Roman" w:cs="Times New Roman" w:eastAsia="仿宋_GB2312"/>
          <w:kern w:val="2"/>
          <w:sz w:val="32"/>
          <w:szCs w:val="32"/>
        </w:rPr>
        <w:t>业主</w:t>
      </w:r>
      <w:r>
        <w:rPr>
          <w:rFonts w:ascii="Times New Roman" w:hAnsi="Times New Roman" w:cs="Times New Roman" w:eastAsia="仿宋_GB2312"/>
          <w:sz w:val="32"/>
          <w:szCs w:val="32"/>
        </w:rPr>
        <w:t>自行管理的住宅小区，由乡镇人民政府、街道办事处负责电动自</w:t>
      </w:r>
      <w:r>
        <w:rPr>
          <w:rFonts w:ascii="Times New Roman" w:hAnsi="Times New Roman" w:cs="Times New Roman" w:eastAsia="仿宋_GB2312"/>
          <w:kern w:val="2"/>
          <w:sz w:val="32"/>
          <w:szCs w:val="32"/>
        </w:rPr>
        <w:t>行车</w:t>
      </w:r>
      <w:r>
        <w:rPr>
          <w:rFonts w:ascii="Times New Roman" w:hAnsi="Times New Roman" w:cs="Times New Roman" w:eastAsia="仿宋_GB2312"/>
          <w:kern w:val="2"/>
          <w:sz w:val="32"/>
          <w:szCs w:val="32"/>
        </w:rPr>
        <w:t>停放、</w:t>
      </w:r>
      <w:r>
        <w:rPr>
          <w:rFonts w:ascii="Times New Roman" w:hAnsi="Times New Roman" w:cs="Times New Roman" w:eastAsia="仿宋_GB2312"/>
          <w:kern w:val="2"/>
          <w:sz w:val="32"/>
          <w:szCs w:val="32"/>
        </w:rPr>
        <w:t>充电安全的日常监督管理工作。</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eastAsia="黑体"/>
          <w:color w:val="000000"/>
          <w:spacing w:val="-4"/>
          <w:szCs w:val="32"/>
        </w:rPr>
        <w:t>二十</w:t>
      </w:r>
      <w:r>
        <w:rPr>
          <w:rFonts w:hint="eastAsia" w:eastAsia="黑体"/>
          <w:color w:val="000000"/>
          <w:spacing w:val="-4"/>
          <w:szCs w:val="32"/>
        </w:rPr>
        <w:t>一</w:t>
      </w:r>
      <w:r>
        <w:rPr>
          <w:rFonts w:eastAsia="黑体"/>
          <w:color w:val="000000"/>
          <w:spacing w:val="-4"/>
          <w:szCs w:val="32"/>
        </w:rPr>
        <w:t>条</w:t>
      </w:r>
      <w:r>
        <w:rPr>
          <w:rFonts w:hint="eastAsia" w:eastAsia="黑体"/>
          <w:color w:val="000000"/>
          <w:spacing w:val="-4"/>
          <w:szCs w:val="32"/>
        </w:rPr>
        <w:t xml:space="preserve">  </w:t>
      </w:r>
      <w:r>
        <w:rPr>
          <w:color w:val="000000"/>
          <w:spacing w:val="-4"/>
          <w:szCs w:val="32"/>
        </w:rPr>
        <w:t>电动自行车不得在下列场所充电：</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（一）</w:t>
      </w:r>
      <w:r>
        <w:rPr>
          <w:rFonts w:hint="eastAsia"/>
          <w:color w:val="000000"/>
          <w:szCs w:val="32"/>
        </w:rPr>
        <w:t>高层民用建</w:t>
      </w:r>
      <w:r>
        <w:rPr>
          <w:color w:val="000000"/>
          <w:szCs w:val="32"/>
        </w:rPr>
        <w:t>筑物</w:t>
      </w:r>
      <w:r>
        <w:rPr>
          <w:rFonts w:hint="eastAsia"/>
          <w:color w:val="000000"/>
          <w:szCs w:val="32"/>
        </w:rPr>
        <w:t>公共</w:t>
      </w:r>
      <w:r>
        <w:rPr>
          <w:color w:val="000000"/>
          <w:szCs w:val="32"/>
        </w:rPr>
        <w:t>门厅、楼梯间、</w:t>
      </w:r>
      <w:r>
        <w:rPr>
          <w:rFonts w:hint="eastAsia"/>
          <w:color w:val="000000"/>
          <w:szCs w:val="32"/>
        </w:rPr>
        <w:t>疏散通道、安全出口</w:t>
      </w:r>
      <w:r>
        <w:rPr>
          <w:color w:val="000000"/>
          <w:szCs w:val="32"/>
        </w:rPr>
        <w:t>等共用部位；</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（二）人员密集场所的室内区域；</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三</w:t>
      </w:r>
      <w:r>
        <w:rPr>
          <w:color w:val="000000"/>
          <w:szCs w:val="32"/>
        </w:rPr>
        <w:t>）法律</w:t>
      </w:r>
      <w:r>
        <w:rPr>
          <w:rFonts w:hint="eastAsia"/>
          <w:color w:val="000000"/>
          <w:szCs w:val="32"/>
        </w:rPr>
        <w:t>、</w:t>
      </w:r>
      <w:r>
        <w:rPr>
          <w:color w:val="000000"/>
          <w:szCs w:val="32"/>
        </w:rPr>
        <w:t>法规规定其他禁止充电的场所。</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rFonts w:eastAsia="黑体"/>
          <w:color w:val="000000"/>
          <w:szCs w:val="32"/>
          <w:shd w:fill="D9D9D9" w:val="clear"/>
        </w:rPr>
      </w:pPr>
      <w:r>
        <w:rPr>
          <w:rFonts w:eastAsia="黑体"/>
          <w:color w:val="000000"/>
          <w:szCs w:val="32"/>
          <w:shd w:fill="D9D9D9" w:val="clear"/>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eastAsia="黑体"/>
          <w:color w:val="000000"/>
          <w:szCs w:val="32"/>
        </w:rPr>
        <w:t>第五章  互联网租赁非机动车管理</w:t>
      </w:r>
    </w:p>
    <w:p>
      <w:pPr>
        <w:pStyle w:val="0"/>
        <w:keepNext w:val="false"/>
        <w:keepLines w:val="false"/>
        <w:pageBreakBefore w:val="false"/>
        <w:widowControl w:val="false"/>
        <w:kinsoku w:val="true"/>
        <w:overflowPunct w:val="false"/>
        <w:bidi w:val="0"/>
        <w:snapToGrid w:val="true"/>
        <w:spacing w:lineRule="auto" w:line="240"/>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第二十</w:t>
      </w:r>
      <w:r>
        <w:rPr>
          <w:rFonts w:hint="eastAsia" w:eastAsia="黑体"/>
          <w:color w:val="000000"/>
          <w:szCs w:val="32"/>
        </w:rPr>
        <w:t>二</w:t>
      </w:r>
      <w:r>
        <w:rPr>
          <w:rFonts w:eastAsia="黑体"/>
          <w:color w:val="000000"/>
          <w:szCs w:val="32"/>
        </w:rPr>
        <w:t>条</w:t>
      </w:r>
      <w:r>
        <w:rPr>
          <w:rFonts w:hint="eastAsia" w:eastAsia="黑体"/>
          <w:color w:val="000000"/>
          <w:szCs w:val="32"/>
        </w:rPr>
        <w:t xml:space="preserve">  </w:t>
      </w:r>
      <w:r>
        <w:rPr>
          <w:color w:val="000000"/>
          <w:szCs w:val="32"/>
        </w:rPr>
        <w:t>本市互联网租赁非机动车实行总量控制。总量规模由交通运输部门会同公安机关、城市管理部门，根据城市公共资源承载能力、交通出行需求等因素合理确定，并实行动态调整。</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第二十</w:t>
      </w:r>
      <w:r>
        <w:rPr>
          <w:rFonts w:hint="eastAsia" w:eastAsia="黑体"/>
          <w:color w:val="000000"/>
          <w:szCs w:val="32"/>
        </w:rPr>
        <w:t>三</w:t>
      </w:r>
      <w:r>
        <w:rPr>
          <w:rFonts w:eastAsia="黑体"/>
          <w:color w:val="000000"/>
          <w:szCs w:val="32"/>
        </w:rPr>
        <w:t>条</w:t>
      </w:r>
      <w:r>
        <w:rPr>
          <w:rFonts w:hint="eastAsia" w:eastAsia="黑体"/>
          <w:color w:val="000000"/>
          <w:szCs w:val="32"/>
        </w:rPr>
        <w:t xml:space="preserve">  </w:t>
      </w:r>
      <w:r>
        <w:rPr>
          <w:color w:val="000000"/>
          <w:szCs w:val="32"/>
        </w:rPr>
        <w:t>交通运输部门</w:t>
      </w:r>
      <w:r>
        <w:rPr>
          <w:rFonts w:hint="eastAsia"/>
          <w:color w:val="000000"/>
          <w:szCs w:val="32"/>
        </w:rPr>
        <w:t>应当建立总量控制、动态管理和淘汰机制以及行业信息服务平台，</w:t>
      </w:r>
      <w:r>
        <w:rPr>
          <w:color w:val="000000"/>
          <w:szCs w:val="32"/>
        </w:rPr>
        <w:t>实施服务质量评价制度，督促互联网租赁非机动车运营企业落实管理主体责任。</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第二十</w:t>
      </w:r>
      <w:r>
        <w:rPr>
          <w:rFonts w:hint="eastAsia" w:eastAsia="黑体"/>
          <w:color w:val="000000"/>
          <w:szCs w:val="32"/>
        </w:rPr>
        <w:t>四</w:t>
      </w:r>
      <w:r>
        <w:rPr>
          <w:rFonts w:eastAsia="黑体"/>
          <w:color w:val="000000"/>
          <w:szCs w:val="32"/>
        </w:rPr>
        <w:t>条</w:t>
      </w:r>
      <w:r>
        <w:rPr>
          <w:rFonts w:hint="eastAsia" w:eastAsia="黑体"/>
          <w:color w:val="000000"/>
          <w:szCs w:val="32"/>
        </w:rPr>
        <w:t xml:space="preserve">  </w:t>
      </w:r>
      <w:r>
        <w:rPr>
          <w:color w:val="000000"/>
          <w:szCs w:val="32"/>
        </w:rPr>
        <w:t>互联网租赁非机动车运营企业应当遵循总量调控和动态管理机制要求，有序投放和回收车辆。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新增车辆的，互联网租赁非机动车运营企业应当在投放运营前三十日，向交通运输部门报送车辆投放方案。</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回收车辆的，互联网租赁非机动车运营企业应当自收到交通运输部门通知之日起三十日内，完成相关车辆回收工作。</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第二十</w:t>
      </w:r>
      <w:r>
        <w:rPr>
          <w:rFonts w:hint="eastAsia" w:eastAsia="黑体"/>
          <w:color w:val="000000"/>
          <w:szCs w:val="32"/>
        </w:rPr>
        <w:t>五</w:t>
      </w:r>
      <w:r>
        <w:rPr>
          <w:rFonts w:eastAsia="黑体"/>
          <w:color w:val="000000"/>
          <w:szCs w:val="32"/>
        </w:rPr>
        <w:t>条</w:t>
      </w:r>
      <w:r>
        <w:rPr>
          <w:rFonts w:hint="eastAsia" w:eastAsia="黑体"/>
          <w:color w:val="000000"/>
          <w:szCs w:val="32"/>
        </w:rPr>
        <w:t xml:space="preserve">  </w:t>
      </w:r>
      <w:r>
        <w:rPr>
          <w:color w:val="000000"/>
          <w:szCs w:val="32"/>
        </w:rPr>
        <w:t>市城市管理部门应当制定互联网租赁非机动车停放点位设置技术</w:t>
      </w:r>
      <w:r>
        <w:rPr>
          <w:rFonts w:hint="eastAsia"/>
          <w:color w:val="000000"/>
          <w:szCs w:val="32"/>
        </w:rPr>
        <w:t>要求</w:t>
      </w:r>
      <w:r>
        <w:rPr>
          <w:color w:val="000000"/>
          <w:szCs w:val="32"/>
        </w:rPr>
        <w:t>。</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rFonts w:eastAsia="黑体"/>
          <w:color w:val="000000"/>
          <w:szCs w:val="32"/>
        </w:rPr>
      </w:pPr>
      <w:r>
        <w:rPr>
          <w:color w:val="000000"/>
          <w:szCs w:val="32"/>
        </w:rPr>
        <w:t>城市管理部门应当会同公安机关交通管理部门加强停放秩序监督管理，发现未在停放点停放的，应当通知互联网租赁非机动车运营企业及时清理。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第二十</w:t>
      </w:r>
      <w:r>
        <w:rPr>
          <w:rFonts w:hint="eastAsia" w:eastAsia="黑体"/>
          <w:color w:val="000000"/>
          <w:szCs w:val="32"/>
        </w:rPr>
        <w:t>六</w:t>
      </w:r>
      <w:r>
        <w:rPr>
          <w:rFonts w:eastAsia="黑体"/>
          <w:color w:val="000000"/>
          <w:szCs w:val="32"/>
        </w:rPr>
        <w:t>条</w:t>
      </w:r>
      <w:r>
        <w:rPr>
          <w:rFonts w:hint="eastAsia" w:eastAsia="黑体"/>
          <w:color w:val="000000"/>
          <w:szCs w:val="32"/>
        </w:rPr>
        <w:t xml:space="preserve">  </w:t>
      </w:r>
      <w:r>
        <w:rPr>
          <w:color w:val="000000"/>
          <w:szCs w:val="32"/>
        </w:rPr>
        <w:t>互联网租赁非机动车运营企业应当做好下列工作：</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（一）加强日常停放</w:t>
      </w:r>
      <w:r>
        <w:rPr>
          <w:rFonts w:hint="eastAsia"/>
          <w:color w:val="000000"/>
          <w:szCs w:val="32"/>
        </w:rPr>
        <w:t>、</w:t>
      </w:r>
      <w:r>
        <w:rPr>
          <w:color w:val="000000"/>
          <w:szCs w:val="32"/>
        </w:rPr>
        <w:t>调度管理，运用现代信息技术手段规范停放</w:t>
      </w:r>
      <w:r>
        <w:rPr>
          <w:rFonts w:hint="eastAsia"/>
          <w:color w:val="000000"/>
          <w:szCs w:val="32"/>
        </w:rPr>
        <w:t>，</w:t>
      </w:r>
      <w:r>
        <w:rPr>
          <w:color w:val="000000"/>
          <w:szCs w:val="32"/>
        </w:rPr>
        <w:t>及时平衡区域潮汐时段车辆供给；</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二</w:t>
      </w:r>
      <w:r>
        <w:rPr>
          <w:color w:val="000000"/>
          <w:szCs w:val="32"/>
        </w:rPr>
        <w:t>）建立日常巡查制度，</w:t>
      </w:r>
      <w:r>
        <w:rPr>
          <w:rFonts w:hint="eastAsia"/>
          <w:color w:val="000000"/>
          <w:szCs w:val="32"/>
        </w:rPr>
        <w:t>每日</w:t>
      </w:r>
      <w:r>
        <w:rPr>
          <w:color w:val="000000"/>
          <w:szCs w:val="32"/>
        </w:rPr>
        <w:t>清理未在停放点停放车辆和损坏、废弃车辆；</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三</w:t>
      </w:r>
      <w:r>
        <w:rPr>
          <w:color w:val="000000"/>
          <w:szCs w:val="32"/>
        </w:rPr>
        <w:t>）为电动自行车配备安全头盔，并提示驾驶人佩戴</w:t>
      </w:r>
      <w:r>
        <w:rPr>
          <w:rFonts w:hint="eastAsia"/>
          <w:color w:val="000000"/>
          <w:szCs w:val="32"/>
        </w:rPr>
        <w:t>；</w:t>
      </w:r>
    </w:p>
    <w:p>
      <w:pPr>
        <w:pStyle w:val="Default"/>
        <w:keepNext w:val="false"/>
        <w:keepLines w:val="false"/>
        <w:pageBreakBefore w:val="false"/>
        <w:widowControl w:val="false"/>
        <w:kinsoku w:val="true"/>
        <w:bidi w:val="0"/>
        <w:snapToGrid w:val="true"/>
        <w:spacing w:lineRule="auto" w:line="24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（四）法律、法规规定的其他工作。</w:t>
      </w:r>
    </w:p>
    <w:p>
      <w:pPr>
        <w:pStyle w:val="0"/>
        <w:keepNext w:val="false"/>
        <w:keepLines w:val="false"/>
        <w:pageBreakBefore w:val="false"/>
        <w:widowControl w:val="false"/>
        <w:kinsoku w:val="true"/>
        <w:overflowPunct w:val="false"/>
        <w:bidi w:val="0"/>
        <w:snapToGrid w:val="true"/>
        <w:spacing w:lineRule="auto" w:line="240"/>
        <w:textAlignment w:val="auto"/>
        <w:rPr>
          <w:rFonts w:ascii="Times New Roman" w:hAnsi="Times New Roman" w:eastAsia="黑体" w:cs="Times New Roman"/>
          <w:color w:val="000000"/>
          <w:kern w:val="2"/>
          <w:sz w:val="32"/>
          <w:szCs w:val="32"/>
        </w:rPr>
      </w:pPr>
      <w:r>
        <w:rPr>
          <w:rFonts w:eastAsia="黑体" w:cs="Times New Roman"/>
          <w:color w:val="000000"/>
          <w:kern w:val="2"/>
          <w:sz w:val="32"/>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hint="eastAsia" w:eastAsia="黑体"/>
          <w:color w:val="000000"/>
          <w:szCs w:val="32"/>
        </w:rPr>
        <w:t>第</w:t>
      </w:r>
      <w:r>
        <w:rPr>
          <w:rFonts w:eastAsia="黑体"/>
          <w:color w:val="000000"/>
          <w:szCs w:val="32"/>
        </w:rPr>
        <w:t>六章</w:t>
      </w:r>
      <w:r>
        <w:rPr>
          <w:rFonts w:hint="eastAsia" w:eastAsia="黑体"/>
          <w:color w:val="000000"/>
          <w:szCs w:val="32"/>
        </w:rPr>
        <w:t xml:space="preserve"> </w:t>
      </w:r>
      <w:r>
        <w:rPr>
          <w:rFonts w:eastAsia="黑体"/>
          <w:color w:val="000000"/>
          <w:szCs w:val="32"/>
        </w:rPr>
        <w:t xml:space="preserve"> 法律责任</w:t>
      </w:r>
    </w:p>
    <w:p>
      <w:pPr>
        <w:pStyle w:val="0"/>
        <w:keepNext w:val="false"/>
        <w:keepLines w:val="false"/>
        <w:pageBreakBefore w:val="false"/>
        <w:widowControl w:val="false"/>
        <w:kinsoku w:val="true"/>
        <w:overflowPunct w:val="false"/>
        <w:bidi w:val="0"/>
        <w:snapToGrid w:val="true"/>
        <w:spacing w:lineRule="auto" w:line="240"/>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第二十</w:t>
      </w:r>
      <w:r>
        <w:rPr>
          <w:rFonts w:hint="eastAsia" w:eastAsia="黑体"/>
          <w:color w:val="000000"/>
          <w:szCs w:val="32"/>
        </w:rPr>
        <w:t>七</w:t>
      </w:r>
      <w:r>
        <w:rPr>
          <w:rFonts w:eastAsia="黑体"/>
          <w:color w:val="000000"/>
          <w:szCs w:val="32"/>
        </w:rPr>
        <w:t>条</w:t>
      </w:r>
      <w:r>
        <w:rPr>
          <w:rFonts w:hint="eastAsia" w:eastAsia="黑体"/>
          <w:color w:val="000000"/>
          <w:szCs w:val="32"/>
        </w:rPr>
        <w:t xml:space="preserve">  </w:t>
      </w:r>
      <w:r>
        <w:rPr>
          <w:color w:val="000000"/>
          <w:szCs w:val="32"/>
        </w:rPr>
        <w:t>违反本条例规定的行为，法律</w:t>
      </w:r>
      <w:r>
        <w:rPr>
          <w:rFonts w:hint="eastAsia"/>
          <w:color w:val="000000"/>
          <w:szCs w:val="32"/>
        </w:rPr>
        <w:t>、</w:t>
      </w:r>
      <w:r>
        <w:rPr>
          <w:color w:val="000000"/>
          <w:szCs w:val="32"/>
        </w:rPr>
        <w:t>法规已有处罚规定的，从其规定。</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w:t>
      </w:r>
      <w:r>
        <w:rPr>
          <w:rFonts w:hint="eastAsia" w:eastAsia="黑体"/>
          <w:color w:val="000000"/>
          <w:szCs w:val="32"/>
        </w:rPr>
        <w:t>二十八</w:t>
      </w:r>
      <w:r>
        <w:rPr>
          <w:rFonts w:eastAsia="黑体"/>
          <w:color w:val="000000"/>
          <w:szCs w:val="32"/>
        </w:rPr>
        <w:t>条</w:t>
      </w:r>
      <w:r>
        <w:rPr>
          <w:rFonts w:hint="eastAsia" w:eastAsia="黑体"/>
          <w:color w:val="000000"/>
          <w:szCs w:val="32"/>
        </w:rPr>
        <w:t xml:space="preserve">  </w:t>
      </w:r>
      <w:r>
        <w:rPr>
          <w:color w:val="000000"/>
          <w:szCs w:val="32"/>
        </w:rPr>
        <w:t>违反本条例第八条</w:t>
      </w:r>
      <w:r>
        <w:rPr>
          <w:rFonts w:hint="eastAsia"/>
          <w:color w:val="000000"/>
          <w:szCs w:val="32"/>
        </w:rPr>
        <w:t>第五项</w:t>
      </w:r>
      <w:r>
        <w:rPr>
          <w:color w:val="000000"/>
          <w:szCs w:val="32"/>
        </w:rPr>
        <w:t>规定</w:t>
      </w:r>
      <w:r>
        <w:rPr>
          <w:rFonts w:hint="eastAsia"/>
          <w:color w:val="000000"/>
          <w:szCs w:val="32"/>
        </w:rPr>
        <w:t>，违反规定</w:t>
      </w:r>
      <w:r>
        <w:rPr>
          <w:color w:val="000000"/>
          <w:szCs w:val="32"/>
        </w:rPr>
        <w:t>从事拼装、加装、改装</w:t>
      </w:r>
      <w:r>
        <w:rPr>
          <w:rFonts w:hint="eastAsia"/>
          <w:color w:val="000000"/>
          <w:szCs w:val="32"/>
        </w:rPr>
        <w:t>电动自行车经营性活动的</w:t>
      </w:r>
      <w:r>
        <w:rPr>
          <w:color w:val="000000"/>
          <w:szCs w:val="32"/>
        </w:rPr>
        <w:t>，由市场监督管理部门责令改正，处以二千元以上二万元以下</w:t>
      </w:r>
      <w:r>
        <w:rPr>
          <w:rFonts w:hint="eastAsia"/>
          <w:color w:val="000000"/>
          <w:szCs w:val="32"/>
        </w:rPr>
        <w:t>的</w:t>
      </w:r>
      <w:r>
        <w:rPr>
          <w:color w:val="000000"/>
          <w:szCs w:val="32"/>
        </w:rPr>
        <w:t>罚款。</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rFonts w:eastAsia="仿宋_GB2312" w:hint="eastAsia"/>
          <w:color w:val="000000"/>
          <w:szCs w:val="32"/>
        </w:rPr>
      </w:pPr>
      <w:r>
        <w:rPr>
          <w:rFonts w:eastAsia="黑体"/>
          <w:color w:val="000000"/>
          <w:szCs w:val="32"/>
        </w:rPr>
        <w:t>第</w:t>
      </w:r>
      <w:r>
        <w:rPr>
          <w:rFonts w:hint="eastAsia" w:eastAsia="黑体"/>
          <w:color w:val="000000"/>
          <w:szCs w:val="32"/>
        </w:rPr>
        <w:t>二十九</w:t>
      </w:r>
      <w:r>
        <w:rPr>
          <w:rFonts w:eastAsia="黑体"/>
          <w:color w:val="000000"/>
          <w:szCs w:val="32"/>
        </w:rPr>
        <w:t>条</w:t>
      </w:r>
      <w:r>
        <w:rPr>
          <w:rFonts w:hint="eastAsia" w:eastAsia="黑体"/>
          <w:color w:val="000000"/>
          <w:szCs w:val="32"/>
        </w:rPr>
        <w:t xml:space="preserve">  </w:t>
      </w:r>
      <w:r>
        <w:rPr>
          <w:color w:val="000000"/>
          <w:szCs w:val="32"/>
        </w:rPr>
        <w:t>违反本条例规定，有下列情形之一的，</w:t>
      </w:r>
      <w:r>
        <w:rPr>
          <w:rFonts w:hint="eastAsia"/>
          <w:color w:val="000000"/>
          <w:szCs w:val="32"/>
        </w:rPr>
        <w:t>按照</w:t>
      </w:r>
      <w:r>
        <w:rPr>
          <w:rFonts w:ascii="Times New Roman" w:hAnsi="Times New Roman" w:cs="仿宋_GB2312" w:hint="eastAsia"/>
        </w:rPr>
        <w:t>《安徽省电动自行车管理条例》</w:t>
      </w:r>
      <w:r>
        <w:rPr>
          <w:rFonts w:hint="eastAsia"/>
          <w:color w:val="000000"/>
          <w:szCs w:val="32"/>
        </w:rPr>
        <w:t>有关规定予以处罚：</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（一）电动自行车驾驶人或者乘坐人未佩戴安全头盔的；</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二</w:t>
      </w:r>
      <w:r>
        <w:rPr>
          <w:color w:val="000000"/>
          <w:szCs w:val="32"/>
        </w:rPr>
        <w:t>）电动自行车、残疾人机动轮椅车在夜间或者遇有雨、雪、雾、沙尘、冰雹等低能见度情况下行驶时未开启照明装置的；</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t>（</w:t>
      </w:r>
      <w:r>
        <w:rPr>
          <w:rFonts w:hint="eastAsia"/>
          <w:color w:val="000000"/>
          <w:szCs w:val="32"/>
        </w:rPr>
        <w:t>三</w:t>
      </w:r>
      <w:r>
        <w:rPr>
          <w:color w:val="000000"/>
          <w:szCs w:val="32"/>
        </w:rPr>
        <w:t>）牵引动物</w:t>
      </w:r>
      <w:r>
        <w:rPr>
          <w:rFonts w:hint="eastAsia"/>
          <w:color w:val="000000"/>
          <w:szCs w:val="32"/>
        </w:rPr>
        <w:t>、以手持方式拨</w:t>
      </w:r>
      <w:r>
        <w:rPr>
          <w:color w:val="000000"/>
          <w:szCs w:val="32"/>
        </w:rPr>
        <w:t>打或者接听电话、浏览电子设备</w:t>
      </w:r>
      <w:r>
        <w:rPr>
          <w:rFonts w:hint="eastAsia"/>
          <w:color w:val="000000"/>
          <w:szCs w:val="32"/>
        </w:rPr>
        <w:t>的。</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rFonts w:eastAsia="黑体"/>
          <w:color w:val="000000"/>
          <w:szCs w:val="32"/>
        </w:rPr>
      </w:pPr>
      <w:r>
        <w:rPr>
          <w:rFonts w:eastAsia="黑体"/>
          <w:color w:val="000000"/>
          <w:szCs w:val="32"/>
        </w:rPr>
        <w:t>第三十条</w:t>
      </w:r>
      <w:r>
        <w:rPr>
          <w:rFonts w:hint="eastAsia" w:eastAsia="黑体"/>
          <w:color w:val="000000"/>
          <w:szCs w:val="32"/>
        </w:rPr>
        <w:t xml:space="preserve">  </w:t>
      </w:r>
      <w:r>
        <w:rPr>
          <w:color w:val="000000"/>
          <w:szCs w:val="32"/>
        </w:rPr>
        <w:t>违反本条例第十</w:t>
      </w:r>
      <w:r>
        <w:rPr>
          <w:rFonts w:hint="eastAsia"/>
          <w:color w:val="000000"/>
          <w:szCs w:val="32"/>
        </w:rPr>
        <w:t>四</w:t>
      </w:r>
      <w:r>
        <w:rPr>
          <w:color w:val="000000"/>
          <w:szCs w:val="32"/>
        </w:rPr>
        <w:t>条第</w:t>
      </w:r>
      <w:r>
        <w:rPr>
          <w:rFonts w:hint="eastAsia"/>
          <w:color w:val="000000"/>
          <w:szCs w:val="32"/>
        </w:rPr>
        <w:t>一</w:t>
      </w:r>
      <w:r>
        <w:rPr>
          <w:color w:val="000000"/>
          <w:szCs w:val="32"/>
        </w:rPr>
        <w:t>款规定，驾驶拼装、加装、改装的</w:t>
      </w:r>
      <w:r>
        <w:rPr>
          <w:rFonts w:hint="eastAsia"/>
          <w:color w:val="000000"/>
          <w:szCs w:val="32"/>
        </w:rPr>
        <w:t>电动自行车</w:t>
      </w:r>
      <w:r>
        <w:rPr>
          <w:color w:val="000000"/>
          <w:szCs w:val="32"/>
        </w:rPr>
        <w:t>上道路行驶的，由公安机关交通管理部门责令改正，</w:t>
      </w:r>
      <w:r>
        <w:rPr>
          <w:rFonts w:hint="eastAsia"/>
          <w:color w:val="000000"/>
          <w:szCs w:val="32"/>
        </w:rPr>
        <w:t>并按照</w:t>
      </w:r>
      <w:r>
        <w:rPr>
          <w:rFonts w:ascii="Times New Roman" w:hAnsi="Times New Roman" w:cs="仿宋_GB2312" w:hint="eastAsia"/>
        </w:rPr>
        <w:t>《安徽省电动自行车管理条例》</w:t>
      </w:r>
      <w:r>
        <w:rPr>
          <w:rFonts w:hint="eastAsia"/>
          <w:color w:val="000000"/>
          <w:szCs w:val="32"/>
        </w:rPr>
        <w:t>有关规定予以处罚。</w:t>
      </w:r>
    </w:p>
    <w:p>
      <w:pPr>
        <w:pStyle w:val="Default"/>
        <w:keepNext w:val="false"/>
        <w:keepLines w:val="false"/>
        <w:pageBreakBefore w:val="false"/>
        <w:widowControl w:val="false"/>
        <w:kinsoku w:val="true"/>
        <w:bidi w:val="0"/>
        <w:snapToGrid w:val="true"/>
        <w:spacing w:lineRule="auto" w:line="2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w:t>
      </w:r>
      <w:r>
        <w:rPr>
          <w:rFonts w:ascii="Times New Roman" w:hAnsi="Times New Roman" w:cs="Times New Roman" w:eastAsia="黑体"/>
          <w:kern w:val="2"/>
          <w:sz w:val="32"/>
          <w:szCs w:val="32"/>
        </w:rPr>
        <w:t>三十</w:t>
      </w:r>
      <w:r>
        <w:rPr>
          <w:rFonts w:ascii="Times New Roman" w:hAnsi="Times New Roman" w:cs="Times New Roman" w:eastAsia="黑体"/>
          <w:kern w:val="2"/>
          <w:sz w:val="32"/>
          <w:szCs w:val="32"/>
        </w:rPr>
        <w:t>一</w:t>
      </w:r>
      <w:r>
        <w:rPr>
          <w:rFonts w:ascii="Times New Roman" w:hAnsi="Times New Roman" w:cs="Times New Roman" w:eastAsia="黑体"/>
          <w:sz w:val="32"/>
          <w:szCs w:val="32"/>
        </w:rPr>
        <w:t xml:space="preserve">条  </w:t>
      </w:r>
      <w:r>
        <w:rPr>
          <w:rFonts w:ascii="Times New Roman" w:hAnsi="Times New Roman" w:cs="Times New Roman" w:eastAsia="仿宋_GB2312"/>
          <w:sz w:val="32"/>
          <w:szCs w:val="32"/>
        </w:rPr>
        <w:t>违反本条例第十</w:t>
      </w:r>
      <w:r>
        <w:rPr>
          <w:rFonts w:ascii="Times New Roman" w:hAnsi="Times New Roman" w:cs="Times New Roman" w:eastAsia="仿宋_GB2312"/>
          <w:kern w:val="2"/>
          <w:sz w:val="32"/>
          <w:szCs w:val="32"/>
        </w:rPr>
        <w:t>七</w:t>
      </w:r>
      <w:r>
        <w:rPr>
          <w:rFonts w:ascii="Times New Roman" w:hAnsi="Times New Roman" w:cs="Times New Roman" w:eastAsia="仿宋_GB2312"/>
          <w:sz w:val="32"/>
          <w:szCs w:val="32"/>
        </w:rPr>
        <w:t>条第三项</w:t>
      </w:r>
      <w:r>
        <w:rPr>
          <w:rFonts w:ascii="Times New Roman" w:hAnsi="Times New Roman" w:cs="Times New Roman" w:eastAsia="仿宋_GB2312"/>
          <w:kern w:val="2"/>
          <w:sz w:val="32"/>
          <w:szCs w:val="32"/>
        </w:rPr>
        <w:t>、第四项规定，在机动车</w:t>
      </w:r>
      <w:r>
        <w:rPr>
          <w:rFonts w:ascii="Times New Roman" w:hAnsi="Times New Roman" w:cs="Times New Roman" w:eastAsia="仿宋_GB2312"/>
          <w:sz w:val="32"/>
          <w:szCs w:val="32"/>
        </w:rPr>
        <w:t>道、非机动车道</w:t>
      </w:r>
      <w:r>
        <w:rPr>
          <w:rFonts w:ascii="Times New Roman" w:hAnsi="Times New Roman" w:cs="Times New Roman" w:eastAsia="仿宋_GB2312"/>
          <w:kern w:val="2"/>
          <w:sz w:val="32"/>
          <w:szCs w:val="32"/>
        </w:rPr>
        <w:t>、未划定停放区域的人行道停放非机动车妨碍其他车辆和行人通行</w:t>
      </w:r>
      <w:r>
        <w:rPr>
          <w:rFonts w:ascii="Times New Roman" w:hAnsi="Times New Roman" w:cs="Times New Roman" w:eastAsia="仿宋_GB2312"/>
          <w:sz w:val="32"/>
          <w:szCs w:val="32"/>
        </w:rPr>
        <w:t>的，由公安机关交通管理部门责令改正；驾驶人</w:t>
      </w:r>
      <w:r>
        <w:rPr>
          <w:rFonts w:ascii="Times New Roman" w:hAnsi="Times New Roman" w:cs="Times New Roman" w:eastAsia="仿宋_GB2312"/>
          <w:kern w:val="2"/>
          <w:sz w:val="32"/>
          <w:szCs w:val="32"/>
        </w:rPr>
        <w:t>在现场</w:t>
      </w:r>
      <w:r>
        <w:rPr>
          <w:rFonts w:ascii="Times New Roman" w:hAnsi="Times New Roman" w:cs="Times New Roman" w:eastAsia="仿宋_GB2312"/>
          <w:sz w:val="32"/>
          <w:szCs w:val="32"/>
        </w:rPr>
        <w:t>拒不改正</w:t>
      </w:r>
      <w:r>
        <w:rPr>
          <w:rFonts w:ascii="Times New Roman" w:hAnsi="Times New Roman" w:cs="Times New Roman" w:eastAsia="仿宋_GB2312"/>
          <w:kern w:val="2"/>
          <w:sz w:val="32"/>
          <w:szCs w:val="32"/>
        </w:rPr>
        <w:t>的</w:t>
      </w:r>
      <w:r>
        <w:rPr>
          <w:rFonts w:ascii="Times New Roman" w:hAnsi="Times New Roman" w:cs="Times New Roman" w:eastAsia="仿宋_GB2312"/>
          <w:sz w:val="32"/>
          <w:szCs w:val="32"/>
        </w:rPr>
        <w:t>，对其处以警告或者五元以上五十元以下</w:t>
      </w:r>
      <w:r>
        <w:rPr>
          <w:rFonts w:ascii="Times New Roman" w:hAnsi="Times New Roman" w:cs="Times New Roman" w:eastAsia="仿宋_GB2312"/>
          <w:kern w:val="2"/>
          <w:sz w:val="32"/>
          <w:szCs w:val="32"/>
        </w:rPr>
        <w:t>的罚款，驾驶人拒绝接受罚款处罚的，可以扣留其非机动车；驾驶人不在现场的</w:t>
      </w:r>
      <w:r>
        <w:rPr>
          <w:rFonts w:ascii="Times New Roman" w:hAnsi="Times New Roman" w:cs="Times New Roman" w:eastAsia="仿宋_GB2312"/>
          <w:sz w:val="32"/>
          <w:szCs w:val="32"/>
        </w:rPr>
        <w:t>，可以搬移至不妨碍交通的地点。</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第三十</w:t>
      </w:r>
      <w:r>
        <w:rPr>
          <w:rFonts w:hint="eastAsia" w:eastAsia="黑体"/>
          <w:color w:val="000000"/>
          <w:szCs w:val="32"/>
        </w:rPr>
        <w:t>二</w:t>
      </w:r>
      <w:r>
        <w:rPr>
          <w:rFonts w:eastAsia="黑体"/>
          <w:color w:val="000000"/>
          <w:szCs w:val="32"/>
        </w:rPr>
        <w:t>条</w:t>
      </w:r>
      <w:r>
        <w:rPr>
          <w:rFonts w:hint="eastAsia" w:eastAsia="黑体"/>
          <w:color w:val="000000"/>
          <w:szCs w:val="32"/>
        </w:rPr>
        <w:t xml:space="preserve">  </w:t>
      </w:r>
      <w:r>
        <w:rPr>
          <w:color w:val="000000"/>
          <w:szCs w:val="32"/>
        </w:rPr>
        <w:t>违反本条例第二十</w:t>
      </w:r>
      <w:r>
        <w:rPr>
          <w:rFonts w:hint="eastAsia"/>
          <w:color w:val="000000"/>
          <w:szCs w:val="32"/>
        </w:rPr>
        <w:t>一</w:t>
      </w:r>
      <w:r>
        <w:rPr>
          <w:color w:val="000000"/>
          <w:szCs w:val="32"/>
        </w:rPr>
        <w:t>条</w:t>
      </w:r>
      <w:r>
        <w:rPr>
          <w:rFonts w:hint="eastAsia"/>
          <w:color w:val="000000"/>
          <w:szCs w:val="32"/>
        </w:rPr>
        <w:t>第一项规</w:t>
      </w:r>
      <w:r>
        <w:rPr>
          <w:color w:val="000000"/>
          <w:szCs w:val="32"/>
        </w:rPr>
        <w:t>定，电动自</w:t>
      </w:r>
      <w:r>
        <w:rPr>
          <w:rFonts w:hint="eastAsia"/>
          <w:color w:val="000000"/>
          <w:kern w:val="0"/>
          <w:szCs w:val="32"/>
        </w:rPr>
        <w:t>行车在高层民用建筑物公共门厅、楼梯间、疏散通道、安全出口等共用部位充电的，由消防救援机构责令改正。拒不改正的，对经营性单位和个人处以二千元以上一万元以下的罚款，对非经营性单位和个人处以五百元以上一千元以下的罚款。</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第三十</w:t>
      </w:r>
      <w:r>
        <w:rPr>
          <w:rFonts w:hint="eastAsia" w:eastAsia="黑体"/>
          <w:color w:val="000000"/>
          <w:szCs w:val="32"/>
        </w:rPr>
        <w:t>三</w:t>
      </w:r>
      <w:r>
        <w:rPr>
          <w:rFonts w:eastAsia="黑体"/>
          <w:color w:val="000000"/>
          <w:szCs w:val="32"/>
        </w:rPr>
        <w:t>条</w:t>
      </w:r>
      <w:r>
        <w:rPr>
          <w:rFonts w:hint="eastAsia" w:eastAsia="黑体"/>
          <w:color w:val="000000"/>
          <w:szCs w:val="32"/>
        </w:rPr>
        <w:t xml:space="preserve">  </w:t>
      </w:r>
      <w:r>
        <w:rPr>
          <w:color w:val="000000"/>
          <w:szCs w:val="32"/>
        </w:rPr>
        <w:t>违反本条例第二</w:t>
      </w:r>
      <w:r>
        <w:rPr>
          <w:rFonts w:hint="eastAsia"/>
          <w:color w:val="000000"/>
          <w:szCs w:val="32"/>
        </w:rPr>
        <w:t>十六</w:t>
      </w:r>
      <w:r>
        <w:rPr>
          <w:color w:val="000000"/>
          <w:szCs w:val="32"/>
        </w:rPr>
        <w:t>条</w:t>
      </w:r>
      <w:r>
        <w:rPr>
          <w:rFonts w:hint="eastAsia"/>
          <w:color w:val="000000"/>
          <w:szCs w:val="32"/>
        </w:rPr>
        <w:t>第二项</w:t>
      </w:r>
      <w:r>
        <w:rPr>
          <w:color w:val="000000"/>
          <w:szCs w:val="32"/>
        </w:rPr>
        <w:t>规定，互</w:t>
      </w:r>
      <w:r>
        <w:rPr>
          <w:rFonts w:hint="eastAsia"/>
          <w:color w:val="000000"/>
          <w:kern w:val="0"/>
          <w:szCs w:val="32"/>
        </w:rPr>
        <w:t>联网租赁非机动车运营企业对未在停放点停放的车辆未每日进行清理、影响行人和车辆正常通行的，由城</w:t>
      </w:r>
      <w:r>
        <w:rPr>
          <w:color w:val="000000"/>
          <w:szCs w:val="32"/>
        </w:rPr>
        <w:t>市管理部门责令改正。拒不改正的，处以一千元以上五千元以下</w:t>
      </w:r>
      <w:r>
        <w:rPr>
          <w:rFonts w:hint="eastAsia"/>
          <w:color w:val="000000"/>
          <w:szCs w:val="32"/>
        </w:rPr>
        <w:t>的</w:t>
      </w:r>
      <w:r>
        <w:rPr>
          <w:color w:val="000000"/>
          <w:szCs w:val="32"/>
        </w:rPr>
        <w:t>罚款。</w:t>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color w:val="000000"/>
          <w:szCs w:val="32"/>
        </w:rPr>
      </w:r>
    </w:p>
    <w:p>
      <w:pPr>
        <w:pStyle w:val="0"/>
        <w:keepNext w:val="false"/>
        <w:keepLines w:val="false"/>
        <w:pageBreakBefore w:val="false"/>
        <w:widowControl w:val="false"/>
        <w:kinsoku w:val="true"/>
        <w:overflowPunct w:val="false"/>
        <w:bidi w:val="0"/>
        <w:snapToGrid w:val="true"/>
        <w:spacing w:lineRule="auto" w:line="240"/>
        <w:jc w:val="center"/>
        <w:textAlignment w:val="auto"/>
        <w:rPr>
          <w:rFonts w:eastAsia="黑体"/>
          <w:color w:val="000000"/>
          <w:szCs w:val="32"/>
        </w:rPr>
      </w:pPr>
      <w:r>
        <w:rPr>
          <w:rFonts w:hint="eastAsia" w:eastAsia="黑体"/>
          <w:color w:val="000000"/>
          <w:szCs w:val="32"/>
        </w:rPr>
        <w:t>第</w:t>
      </w:r>
      <w:r>
        <w:rPr>
          <w:rFonts w:eastAsia="黑体"/>
          <w:color w:val="000000"/>
          <w:szCs w:val="32"/>
        </w:rPr>
        <w:t xml:space="preserve">七章  附  </w:t>
      </w:r>
      <w:r>
        <w:rPr>
          <w:rFonts w:hint="eastAsia" w:eastAsia="黑体"/>
          <w:color w:val="000000"/>
          <w:szCs w:val="32"/>
        </w:rPr>
        <w:t xml:space="preserve">  </w:t>
      </w:r>
      <w:r>
        <w:rPr>
          <w:rFonts w:eastAsia="黑体"/>
          <w:color w:val="000000"/>
          <w:szCs w:val="32"/>
        </w:rPr>
        <w:t>则</w:t>
      </w:r>
    </w:p>
    <w:p>
      <w:pPr>
        <w:pStyle w:val="0"/>
        <w:keepNext w:val="false"/>
        <w:keepLines w:val="false"/>
        <w:pageBreakBefore w:val="false"/>
        <w:widowControl w:val="false"/>
        <w:kinsoku w:val="true"/>
        <w:overflowPunct w:val="false"/>
        <w:bidi w:val="0"/>
        <w:snapToGrid w:val="true"/>
        <w:spacing w:lineRule="auto" w:line="240"/>
        <w:textAlignment w:val="auto"/>
        <w:rPr>
          <w:rFonts w:eastAsia="黑体"/>
          <w:color w:val="000000"/>
          <w:szCs w:val="32"/>
        </w:rPr>
      </w:pPr>
      <w:r>
        <w:rPr>
          <w:rFonts w:eastAsia="黑体"/>
          <w:color w:val="000000"/>
          <w:szCs w:val="32"/>
        </w:rPr>
      </w:r>
    </w:p>
    <w:p>
      <w:pPr>
        <w:pStyle w:val="0"/>
        <w:keepNext w:val="false"/>
        <w:keepLines w:val="false"/>
        <w:pageBreakBefore w:val="false"/>
        <w:widowControl w:val="false"/>
        <w:kinsoku w:val="true"/>
        <w:overflowPunct w:val="false"/>
        <w:bidi w:val="0"/>
        <w:snapToGrid w:val="true"/>
        <w:spacing w:lineRule="auto" w:line="240"/>
        <w:ind w:firstLineChars="200" w:startChars="0" w:start="0" w:endChars="0" w:end="0"/>
        <w:textAlignment w:val="auto"/>
        <w:rPr>
          <w:color w:val="000000"/>
          <w:szCs w:val="32"/>
        </w:rPr>
      </w:pPr>
      <w:r>
        <w:rPr>
          <w:rFonts w:eastAsia="黑体"/>
          <w:color w:val="000000"/>
          <w:szCs w:val="32"/>
        </w:rPr>
        <w:t>第三十</w:t>
      </w:r>
      <w:r>
        <w:rPr>
          <w:rFonts w:hint="eastAsia" w:eastAsia="黑体"/>
          <w:color w:val="000000"/>
          <w:szCs w:val="32"/>
        </w:rPr>
        <w:t>四</w:t>
      </w:r>
      <w:r>
        <w:rPr>
          <w:rFonts w:eastAsia="黑体"/>
          <w:color w:val="000000"/>
          <w:szCs w:val="32"/>
        </w:rPr>
        <w:t>条</w:t>
      </w:r>
      <w:r>
        <w:rPr>
          <w:rFonts w:hint="eastAsia" w:eastAsia="黑体"/>
          <w:color w:val="000000"/>
          <w:szCs w:val="32"/>
        </w:rPr>
        <w:t xml:space="preserve">  </w:t>
      </w:r>
      <w:r>
        <w:rPr>
          <w:color w:val="000000"/>
          <w:szCs w:val="32"/>
        </w:rPr>
        <w:t>本</w:t>
      </w:r>
      <w:r>
        <w:rPr>
          <w:rFonts w:ascii="仿宋_GB2312" w:hAnsi="仿宋_GB2312" w:cs="仿宋_GB2312" w:hint="eastAsia"/>
          <w:color w:val="000000"/>
          <w:szCs w:val="32"/>
        </w:rPr>
        <w:t>条例自</w:t>
      </w:r>
      <w:r>
        <w:rPr>
          <w:rFonts w:eastAsia="仿宋_GB2312" w:cs="仿宋_GB2312" w:hint="eastAsia" w:ascii="仿宋_GB2312" w:hAnsi="仿宋_GB2312"/>
          <w:color w:val="000000"/>
          <w:szCs w:val="32"/>
        </w:rPr>
        <w:t>2022</w:t>
      </w:r>
      <w:r>
        <w:rPr>
          <w:rFonts w:ascii="仿宋_GB2312" w:hAnsi="仿宋_GB2312" w:cs="仿宋_GB2312" w:hint="eastAsia"/>
          <w:color w:val="000000"/>
          <w:szCs w:val="32"/>
        </w:rPr>
        <w:t>年</w:t>
      </w:r>
      <w:r>
        <w:rPr>
          <w:rFonts w:eastAsia="仿宋_GB2312" w:cs="仿宋_GB2312" w:hint="eastAsia" w:ascii="仿宋_GB2312" w:hAnsi="仿宋_GB2312"/>
          <w:color w:val="000000"/>
          <w:szCs w:val="32"/>
        </w:rPr>
        <w:t>11</w:t>
      </w:r>
      <w:r>
        <w:rPr>
          <w:rFonts w:ascii="仿宋_GB2312" w:hAnsi="仿宋_GB2312" w:cs="仿宋_GB2312" w:hint="eastAsia"/>
          <w:color w:val="000000"/>
          <w:szCs w:val="32"/>
        </w:rPr>
        <w:t>月</w:t>
      </w:r>
      <w:r>
        <w:rPr>
          <w:rFonts w:eastAsia="仿宋_GB2312" w:cs="仿宋_GB2312" w:hint="eastAsia" w:ascii="仿宋_GB2312" w:hAnsi="仿宋_GB2312"/>
          <w:color w:val="000000"/>
          <w:szCs w:val="32"/>
        </w:rPr>
        <w:t>1</w:t>
      </w:r>
      <w:r>
        <w:rPr>
          <w:rFonts w:ascii="仿宋_GB2312" w:hAnsi="仿宋_GB2312" w:cs="仿宋_GB2312" w:hint="eastAsia"/>
          <w:color w:val="000000"/>
          <w:szCs w:val="32"/>
        </w:rPr>
        <w:t>日起</w:t>
      </w:r>
      <w:r>
        <w:rPr>
          <w:color w:val="000000"/>
          <w:szCs w:val="32"/>
        </w:rPr>
        <w:t>施行。</w:t>
      </w:r>
    </w:p>
    <w:p>
      <w:pPr>
        <w:pStyle w:val="Normal"/>
        <w:widowControl/>
        <w:spacing w:lineRule="exact" w:line="618"/>
        <w:jc w:val="start"/>
        <w:rPr>
          <w:color w:val="000000"/>
          <w:szCs w:val="32"/>
        </w:rPr>
      </w:pPr>
      <w:r>
        <w:rPr>
          <w:color w:val="000000"/>
          <w:szCs w:val="32"/>
        </w:rPr>
      </w:r>
    </w:p>
    <w:p>
      <w:pPr>
        <w:pStyle w:val="NormalIndent"/>
        <w:rPr>
          <w:color w:val="000000"/>
          <w:szCs w:val="32"/>
        </w:rPr>
      </w:pPr>
      <w:r>
        <w:rPr>
          <w:color w:val="000000"/>
          <w:szCs w:val="32"/>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charset w:val="86"/>
    <w:family w:val="auto"/>
    <w:pitch w:val="default"/>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0">
    <w:name w:val="正文_0"/>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11">
    <w:name w:val="Char1"/>
    <w:basedOn w:val="Normal"/>
    <w:qFormat/>
    <w:pPr>
      <w:tabs>
        <w:tab w:val="clear" w:pos="420"/>
        <w:tab w:val="left" w:pos="360" w:leader="none"/>
      </w:tabs>
    </w:pPr>
    <w:rPr>
      <w:szCs w:val="20"/>
    </w:rPr>
  </w:style>
  <w:style w:type="paragraph" w:styleId="CharCharCharChar">
    <w:name w:val="Char Char Char Char"/>
    <w:basedOn w:val="Normal"/>
    <w:qFormat/>
    <w:pPr/>
    <w:rPr>
      <w:rFonts w:eastAsia="宋体"/>
      <w:sz w:val="21"/>
      <w:szCs w:val="24"/>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 w:type="paragraph" w:styleId="Bodytext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NormalIndent1">
    <w:name w:val="Normal Indent1"/>
    <w:basedOn w:val="Normal"/>
    <w:qFormat/>
    <w:pPr>
      <w:ind w:firstLineChars="200" w:startChars="0" w:start="0" w:endChars="0" w:end="0"/>
    </w:pPr>
    <w:rPr>
      <w:rFonts w:eastAsia="楷体_GB2312"/>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p0">
    <w:name w:val="p0"/>
    <w:basedOn w:val="Normal"/>
    <w:qFormat/>
    <w:pPr>
      <w:widowControl/>
    </w:pPr>
    <w:rPr>
      <w:rFonts w:eastAsia="宋体"/>
      <w:kern w:val="0"/>
      <w:sz w:val="21"/>
      <w:szCs w:val="21"/>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BodyText6">
    <w:name w:val="BodyText"/>
    <w:basedOn w:val="Normal"/>
    <w:qFormat/>
    <w:pPr>
      <w:spacing w:before="0" w:after="120"/>
    </w:pPr>
    <w:rPr>
      <w:rFonts w:ascii="Times New Roman" w:hAnsi="Times New Roman" w:eastAsia="Times New Roman" w:cs="Times New Roman"/>
      <w:kern w:val="0"/>
    </w:rPr>
  </w:style>
  <w:style w:type="paragraph" w:styleId="NormalIndent2">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2021-12-27T06:50:00Z</dcterms:created>
  <dc:creator>ch</dc:creator>
  <dc:description/>
  <dc:language>en-US</dc:language>
  <cp:lastModifiedBy>川人张</cp:lastModifiedBy>
  <cp:lastPrinted>2022-09-29T06:35:00Z</cp:lastPrinted>
  <dcterms:modified xsi:type="dcterms:W3CDTF">2022-11-02T10:24:24Z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939E9DFEF5B74D4783460E8413BE5262</vt:lpwstr>
  </property>
  <property fmtid="{D5CDD505-2E9C-101B-9397-08002B2CF9AE}" pid="3" name="KSOProductBuildVer">
    <vt:lpwstr>2052-11.1.0.12598</vt:lpwstr>
  </property>
</Properties>
</file>