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POLITIQUE DE RECUEIL ET DE TRAITEMENT DES ALERTES</w:t>
      </w:r>
    </w:p>
    <w:p>
      <w:pPr>
        <w:spacing w:before="200"/>
        <w:jc w:val="center"/>
      </w:pPr>
      <w:r>
        <w:rPr>
          <w:color w:val="404040"/>
          <w:sz w:val="28"/>
          <w:szCs w:val="28"/>
        </w:rPr>
        <w:t xml:space="preserve">Dispositif de signalement des lanceurs d'alerte</w:t>
      </w:r>
    </w:p>
    <w:p>
      <w:pPr>
        <w:spacing w:before="8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6E6" w:val="clear"/>
          </w:tcPr>
          <w:p>
            <w:r>
              <w:rPr>
                <w:b/>
                <w:bCs/>
              </w:rPr>
              <w:t xml:space="preserve">Référence</w:t>
            </w:r>
          </w:p>
        </w:tc>
        <w:tc>
          <w:tcPr>
            <w:tcW w:type="dxa" w:w="6360"/>
            <w:tcBorders>
              <w:top w:val="single" w:color="CCCCCC" w:sz="1"/>
              <w:left w:val="single" w:color="CCCCCC" w:sz="1"/>
              <w:bottom w:val="single" w:color="CCCCCC" w:sz="1"/>
              <w:right w:val="single" w:color="CCCCCC" w:sz="1"/>
            </w:tcBorders>
          </w:tcPr>
          <w:p>
            <w:r>
              <w:t xml:space="preserve">[POL-ALERTE-001]</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Version</w:t>
            </w:r>
          </w:p>
        </w:tc>
        <w:tc>
          <w:tcPr>
            <w:tcW w:type="dxa" w:w="6360"/>
            <w:tcBorders>
              <w:top w:val="single" w:color="CCCCCC" w:sz="1"/>
              <w:left w:val="single" w:color="CCCCCC" w:sz="1"/>
              <w:bottom w:val="single" w:color="CCCCCC" w:sz="1"/>
              <w:right w:val="single" w:color="CCCCCC" w:sz="1"/>
            </w:tcBorders>
          </w:tcPr>
          <w:p>
            <w:r>
              <w:t xml:space="preserve">[1.0]</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Date d'entrée en vigueur</w:t>
            </w:r>
          </w:p>
        </w:tc>
        <w:tc>
          <w:tcPr>
            <w:tcW w:type="dxa" w:w="6360"/>
            <w:tcBorders>
              <w:top w:val="single" w:color="CCCCCC" w:sz="1"/>
              <w:left w:val="single" w:color="CCCCCC" w:sz="1"/>
              <w:bottom w:val="single" w:color="CCCCCC" w:sz="1"/>
              <w:right w:val="single" w:color="CCCCCC" w:sz="1"/>
            </w:tcBorders>
          </w:tcPr>
          <w:p>
            <w:r>
              <w:t xml:space="preserve">[JJ/MM/AAAA]</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Propriétaire</w:t>
            </w:r>
          </w:p>
        </w:tc>
        <w:tc>
          <w:tcPr>
            <w:tcW w:type="dxa" w:w="6360"/>
            <w:tcBorders>
              <w:top w:val="single" w:color="CCCCCC" w:sz="1"/>
              <w:left w:val="single" w:color="CCCCCC" w:sz="1"/>
              <w:bottom w:val="single" w:color="CCCCCC" w:sz="1"/>
              <w:right w:val="single" w:color="CCCCCC" w:sz="1"/>
            </w:tcBorders>
          </w:tcPr>
          <w:p>
            <w:r>
              <w:t xml:space="preserve">[Direction Éthique et Conformité / Direction Juridique]</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Approbation</w:t>
            </w:r>
          </w:p>
        </w:tc>
        <w:tc>
          <w:tcPr>
            <w:tcW w:type="dxa" w:w="6360"/>
            <w:tcBorders>
              <w:top w:val="single" w:color="CCCCCC" w:sz="1"/>
              <w:left w:val="single" w:color="CCCCCC" w:sz="1"/>
              <w:bottom w:val="single" w:color="CCCCCC" w:sz="1"/>
              <w:right w:val="single" w:color="CCCCCC" w:sz="1"/>
            </w:tcBorders>
          </w:tcPr>
          <w:p>
            <w:r>
              <w:t xml:space="preserve">[Comité Exécutif / Direction Générale]</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Classification</w:t>
            </w:r>
          </w:p>
        </w:tc>
        <w:tc>
          <w:tcPr>
            <w:tcW w:type="dxa" w:w="6360"/>
            <w:tcBorders>
              <w:top w:val="single" w:color="CCCCCC" w:sz="1"/>
              <w:left w:val="single" w:color="CCCCCC" w:sz="1"/>
              <w:bottom w:val="single" w:color="CCCCCC" w:sz="1"/>
              <w:right w:val="single" w:color="CCCCCC" w:sz="1"/>
            </w:tcBorders>
          </w:tcPr>
          <w:p>
            <w:r>
              <w:t xml:space="preserve">Interne</w:t>
            </w:r>
          </w:p>
        </w:tc>
      </w:tr>
    </w:tbl>
    <w:p>
      <w:r>
        <w:br w:type="page"/>
      </w:r>
    </w:p>
    <w:p>
      <w:pPr>
        <w:pStyle w:val="Heading1"/>
      </w:pPr>
      <w:r>
        <w:t xml:space="preserve">TABLE DES MATIÈRES</w:t>
      </w:r>
    </w:p>
    <w:p>
      <w:pPr>
        <w:spacing w:before="200"/>
      </w:pPr>
      <w:r>
        <w:t xml:space="preserve">1. Objet et engagement de l'entreprise</w:t>
      </w:r>
    </w:p>
    <w:p>
      <w:r>
        <w:t xml:space="preserve">2. Cadre juridique</w:t>
      </w:r>
    </w:p>
    <w:p>
      <w:r>
        <w:t xml:space="preserve">3. Champ d'application</w:t>
      </w:r>
    </w:p>
    <w:p>
      <w:r>
        <w:t xml:space="preserve">4. Définitions</w:t>
      </w:r>
    </w:p>
    <w:p>
      <w:r>
        <w:t xml:space="preserve">5. Faits pouvant faire l'objet d'un signalement</w:t>
      </w:r>
    </w:p>
    <w:p>
      <w:r>
        <w:t xml:space="preserve">6. Canaux de signalement</w:t>
      </w:r>
    </w:p>
    <w:p>
      <w:r>
        <w:t xml:space="preserve">7. Procédure de signalement interne</w:t>
      </w:r>
    </w:p>
    <w:p>
      <w:r>
        <w:t xml:space="preserve">8. Traitement des alertes</w:t>
      </w:r>
    </w:p>
    <w:p>
      <w:r>
        <w:t xml:space="preserve">9. Protection des lanceurs d'alerte</w:t>
      </w:r>
    </w:p>
    <w:p>
      <w:r>
        <w:t xml:space="preserve">10. Confidentialité et protection des données</w:t>
      </w:r>
    </w:p>
    <w:p>
      <w:r>
        <w:t xml:space="preserve">11. Sanctions</w:t>
      </w:r>
    </w:p>
    <w:p>
      <w:r>
        <w:t xml:space="preserve">12. Information et formation</w:t>
      </w:r>
    </w:p>
    <w:p>
      <w:r>
        <w:t xml:space="preserve">13. Suivi et révision de la politique</w:t>
      </w:r>
    </w:p>
    <w:p>
      <w:r>
        <w:t xml:space="preserve">Annexe 1 : Coordonnées des canaux de signalement</w:t>
      </w:r>
    </w:p>
    <w:p>
      <w:r>
        <w:t xml:space="preserve">Annexe 2 : Formulaire de signalement</w:t>
      </w:r>
    </w:p>
    <w:p>
      <w:r>
        <w:br w:type="page"/>
      </w:r>
    </w:p>
    <w:p>
      <w:pPr>
        <w:pStyle w:val="Heading1"/>
      </w:pPr>
      <w:r>
        <w:t xml:space="preserve">1. OBJET ET ENGAGEMENT DE L'ENTREPRISE</w:t>
      </w:r>
    </w:p>
    <w:p>
      <w:pPr>
        <w:spacing w:before="200" w:after="120"/>
      </w:pPr>
      <w:r>
        <w:t xml:space="preserve">La présente politique définit les modalités de recueil et de traitement des signalements effectués par les lanceurs d'alerte au sein de [NOM DE L'ENTREPRISE] et de ses filiales (ci-après « l'Entreprise » ou « le Groupe »).</w:t>
      </w:r>
    </w:p>
    <w:p>
      <w:pPr>
        <w:spacing w:after="120"/>
      </w:pPr>
      <w:r>
        <w:t xml:space="preserve">L'Entreprise s'engage à :</w:t>
      </w:r>
    </w:p>
    <w:p>
      <w:pPr>
        <w:pStyle w:val="ListParagraph"/>
        <w:numPr>
          <w:ilvl w:val="0"/>
          <w:numId w:val="2"/>
        </w:numPr>
      </w:pPr>
      <w:r>
        <w:t xml:space="preserve">Mettre à disposition un dispositif d'alerte accessible, sécurisé et confidentiel</w:t>
      </w:r>
    </w:p>
    <w:p>
      <w:pPr>
        <w:pStyle w:val="ListParagraph"/>
        <w:numPr>
          <w:ilvl w:val="0"/>
          <w:numId w:val="2"/>
        </w:numPr>
      </w:pPr>
      <w:r>
        <w:t xml:space="preserve">Traiter chaque signalement avec diligence, impartialité et objectivité</w:t>
      </w:r>
    </w:p>
    <w:p>
      <w:pPr>
        <w:pStyle w:val="ListParagraph"/>
        <w:numPr>
          <w:ilvl w:val="0"/>
          <w:numId w:val="2"/>
        </w:numPr>
      </w:pPr>
      <w:r>
        <w:t xml:space="preserve">Protéger les lanceurs d'alerte contre toute forme de représailles</w:t>
      </w:r>
    </w:p>
    <w:p>
      <w:pPr>
        <w:pStyle w:val="ListParagraph"/>
        <w:numPr>
          <w:ilvl w:val="0"/>
          <w:numId w:val="2"/>
        </w:numPr>
      </w:pPr>
      <w:r>
        <w:t xml:space="preserve">Garantir la confidentialité des informations et des personnes concernées</w:t>
      </w:r>
    </w:p>
    <w:p>
      <w:pPr>
        <w:pStyle w:val="ListParagraph"/>
        <w:numPr>
          <w:ilvl w:val="0"/>
          <w:numId w:val="2"/>
        </w:numPr>
      </w:pPr>
      <w:r>
        <w:t xml:space="preserve">Informer régulièrement les auteurs de signalement des suites données à leur alerte</w:t>
      </w:r>
    </w:p>
    <w:p>
      <w:pPr>
        <w:pStyle w:val="Heading1"/>
      </w:pPr>
      <w:r>
        <w:t xml:space="preserve">2. CADRE JURIDIQUE</w:t>
      </w:r>
    </w:p>
    <w:p>
      <w:pPr>
        <w:spacing w:before="200" w:after="120"/>
      </w:pPr>
      <w:r>
        <w:t xml:space="preserve">Cette politique est établie en conformité avec les textes suivants :</w:t>
      </w:r>
    </w:p>
    <w:p>
      <w:pPr>
        <w:pStyle w:val="ListParagraph"/>
        <w:numPr>
          <w:ilvl w:val="0"/>
          <w:numId w:val="2"/>
        </w:numPr>
      </w:pPr>
      <w:r>
        <w:t xml:space="preserve">Loi n° 2016-1691 du 9 décembre 2016 relative à la transparence, à la lutte contre la corruption et à la modernisation de la vie économique (« Loi Sapin II »)</w:t>
      </w:r>
    </w:p>
    <w:p>
      <w:pPr>
        <w:pStyle w:val="ListParagraph"/>
        <w:numPr>
          <w:ilvl w:val="0"/>
          <w:numId w:val="2"/>
        </w:numPr>
      </w:pPr>
      <w:r>
        <w:t xml:space="preserve">Loi n° 2022-401 du 21 mars 2022 visant à améliorer la protection des lanceurs d'alerte</w:t>
      </w:r>
    </w:p>
    <w:p>
      <w:pPr>
        <w:pStyle w:val="ListParagraph"/>
        <w:numPr>
          <w:ilvl w:val="0"/>
          <w:numId w:val="2"/>
        </w:numPr>
      </w:pPr>
      <w:r>
        <w:t xml:space="preserve">Décret n° 2022-1284 du 3 octobre 2022 relatif aux procédures de recueil et de traitement des signalements</w:t>
      </w:r>
    </w:p>
    <w:p>
      <w:pPr>
        <w:pStyle w:val="ListParagraph"/>
        <w:numPr>
          <w:ilvl w:val="0"/>
          <w:numId w:val="2"/>
        </w:numPr>
      </w:pPr>
      <w:r>
        <w:t xml:space="preserve">Directive (UE) 2019/1937 du 23 octobre 2019 sur la protection des personnes qui signalent des violations du droit de l'Union</w:t>
      </w:r>
    </w:p>
    <w:p>
      <w:pPr>
        <w:pStyle w:val="ListParagraph"/>
        <w:numPr>
          <w:ilvl w:val="0"/>
          <w:numId w:val="2"/>
        </w:numPr>
      </w:pPr>
      <w:r>
        <w:t xml:space="preserve">Loi n° 2017-399 du 27 mars 2017 relative au devoir de vigilance des sociétés mères et entreprises donneuses d'ordre</w:t>
      </w:r>
    </w:p>
    <w:p>
      <w:pPr>
        <w:pStyle w:val="ListParagraph"/>
        <w:numPr>
          <w:ilvl w:val="0"/>
          <w:numId w:val="2"/>
        </w:numPr>
      </w:pPr>
      <w:r>
        <w:t xml:space="preserve">Règlement (UE) 2016/679 du 27 avril 2016 relatif à la protection des données personnelles (RGPD)</w:t>
      </w:r>
    </w:p>
    <w:p>
      <w:pPr>
        <w:pStyle w:val="ListParagraph"/>
        <w:numPr>
          <w:ilvl w:val="0"/>
          <w:numId w:val="2"/>
        </w:numPr>
      </w:pPr>
      <w:r>
        <w:t xml:space="preserve">Référentiel de la CNIL relatif aux dispositifs d'alerte professionnelle</w:t>
      </w:r>
    </w:p>
    <w:p>
      <w:pPr>
        <w:pStyle w:val="Heading1"/>
      </w:pPr>
      <w:r>
        <w:t xml:space="preserve">3. CHAMP D'APPLICATION</w:t>
      </w:r>
    </w:p>
    <w:p>
      <w:pPr>
        <w:pStyle w:val="Heading2"/>
      </w:pPr>
      <w:r>
        <w:t xml:space="preserve">3.1 Périmètre organisationnel</w:t>
      </w:r>
    </w:p>
    <w:p>
      <w:pPr>
        <w:spacing w:before="120" w:after="120"/>
      </w:pPr>
      <w:r>
        <w:t xml:space="preserve">Cette politique s'applique à l'ensemble des entités de [NOM DE L'ENTREPRISE], incluant la société mère et l'ensemble de ses filiales, en France et à l'international.</w:t>
      </w:r>
    </w:p>
    <w:p>
      <w:pPr>
        <w:pStyle w:val="Heading2"/>
      </w:pPr>
      <w:r>
        <w:t xml:space="preserve">3.2 Personnes habilitées à effectuer un signalement</w:t>
      </w:r>
    </w:p>
    <w:p>
      <w:pPr>
        <w:spacing w:before="120" w:after="120"/>
      </w:pPr>
      <w:r>
        <w:t xml:space="preserve">Peuvent effectuer un signalement :</w:t>
      </w:r>
    </w:p>
    <w:p>
      <w:pPr>
        <w:pStyle w:val="ListParagraph"/>
        <w:numPr>
          <w:ilvl w:val="0"/>
          <w:numId w:val="2"/>
        </w:numPr>
      </w:pPr>
      <w:r>
        <w:t xml:space="preserve">Les collaborateurs de l'Entreprise (salariés en CDI, CDD, intérimaires, stagiaires, alternants)</w:t>
      </w:r>
    </w:p>
    <w:p>
      <w:pPr>
        <w:pStyle w:val="ListParagraph"/>
        <w:numPr>
          <w:ilvl w:val="0"/>
          <w:numId w:val="2"/>
        </w:numPr>
      </w:pPr>
      <w:r>
        <w:t xml:space="preserve">Les anciens collaborateurs</w:t>
      </w:r>
    </w:p>
    <w:p>
      <w:pPr>
        <w:pStyle w:val="ListParagraph"/>
        <w:numPr>
          <w:ilvl w:val="0"/>
          <w:numId w:val="2"/>
        </w:numPr>
      </w:pPr>
      <w:r>
        <w:t xml:space="preserve">Les candidats à l'embauche</w:t>
      </w:r>
    </w:p>
    <w:p>
      <w:pPr>
        <w:pStyle w:val="ListParagraph"/>
        <w:numPr>
          <w:ilvl w:val="0"/>
          <w:numId w:val="2"/>
        </w:numPr>
      </w:pPr>
      <w:r>
        <w:t xml:space="preserve">Les membres des organes de direction et d'administration</w:t>
      </w:r>
    </w:p>
    <w:p>
      <w:pPr>
        <w:pStyle w:val="ListParagraph"/>
        <w:numPr>
          <w:ilvl w:val="0"/>
          <w:numId w:val="2"/>
        </w:numPr>
      </w:pPr>
      <w:r>
        <w:t xml:space="preserve">Les actionnaires et associés</w:t>
      </w:r>
    </w:p>
    <w:p>
      <w:pPr>
        <w:pStyle w:val="ListParagraph"/>
        <w:numPr>
          <w:ilvl w:val="0"/>
          <w:numId w:val="2"/>
        </w:numPr>
      </w:pPr>
      <w:r>
        <w:t xml:space="preserve">Les collaborateurs extérieurs et sous-traitants</w:t>
      </w:r>
    </w:p>
    <w:p>
      <w:pPr>
        <w:pStyle w:val="ListParagraph"/>
        <w:numPr>
          <w:ilvl w:val="0"/>
          <w:numId w:val="2"/>
        </w:numPr>
      </w:pPr>
      <w:r>
        <w:t xml:space="preserve">Les fournisseurs et leurs sous-traitants</w:t>
      </w:r>
    </w:p>
    <w:p>
      <w:pPr>
        <w:pStyle w:val="ListParagraph"/>
        <w:numPr>
          <w:ilvl w:val="0"/>
          <w:numId w:val="2"/>
        </w:numPr>
      </w:pPr>
      <w:r>
        <w:t xml:space="preserve">Les cocontractants de l'Entreprise</w:t>
      </w:r>
    </w:p>
    <w:p>
      <w:pPr>
        <w:pStyle w:val="ListParagraph"/>
        <w:numPr>
          <w:ilvl w:val="0"/>
          <w:numId w:val="2"/>
        </w:numPr>
      </w:pPr>
      <w:r>
        <w:t xml:space="preserve">Toute personne physique ayant connaissance de faits dans le cadre de ses activités professionnelles</w:t>
      </w:r>
    </w:p>
    <w:p>
      <w:pPr>
        <w:spacing w:before="120" w:after="120"/>
      </w:pPr>
      <w:r>
        <w:rPr>
          <w:b/>
          <w:bCs/>
        </w:rPr>
        <w:t xml:space="preserve">Note : </w:t>
      </w:r>
      <w:r>
        <w:t xml:space="preserve">Seules les personnes physiques peuvent bénéficier du statut de lanceur d'alerte. Les personnes morales ne peuvent pas être lanceurs d'alerte mais peuvent bénéficier des protections accordées aux facilitateurs.</w:t>
      </w:r>
    </w:p>
    <w:p>
      <w:pPr>
        <w:pStyle w:val="Heading1"/>
      </w:pPr>
      <w:r>
        <w:t xml:space="preserve">4. DÉFINITIONS</w:t>
      </w:r>
    </w:p>
    <w:p>
      <w:pPr>
        <w:pStyle w:val="Heading2"/>
      </w:pPr>
      <w:r>
        <w:t xml:space="preserve">4.1 Lanceur d'alerte</w:t>
      </w:r>
    </w:p>
    <w:p>
      <w:pPr>
        <w:spacing w:before="120" w:after="120"/>
      </w:pPr>
      <w:r>
        <w:t xml:space="preserve">Personne physique qui signale ou divulgue, sans contrepartie financière directe et de bonne foi, des informations portant sur un crime, un délit, une menace ou un préjudice pour l'intérêt général, une violation ou une tentative de dissimulation d'une violation du droit national, européen ou international.</w:t>
      </w:r>
    </w:p>
    <w:p>
      <w:pPr>
        <w:pStyle w:val="Heading2"/>
      </w:pPr>
      <w:r>
        <w:t xml:space="preserve">4.2 Facilitateur</w:t>
      </w:r>
    </w:p>
    <w:p>
      <w:pPr>
        <w:spacing w:before="120" w:after="120"/>
      </w:pPr>
      <w:r>
        <w:t xml:space="preserve">Personne physique ou morale de droit privé à but non lucratif qui aide un lanceur d'alerte à effectuer un signalement ou une divulgation publique (conseils, assistance technique ou juridique).</w:t>
      </w:r>
    </w:p>
    <w:p>
      <w:pPr>
        <w:pStyle w:val="Heading2"/>
      </w:pPr>
      <w:r>
        <w:t xml:space="preserve">4.3 Personne en lien avec le lanceur d'alerte</w:t>
      </w:r>
    </w:p>
    <w:p>
      <w:pPr>
        <w:spacing w:before="120" w:after="120"/>
      </w:pPr>
      <w:r>
        <w:t xml:space="preserve">Tiers susceptible de faire l'objet de représailles en raison de leur lien avec le lanceur d'alerte : collègues, proches, entités juridiques contrôlées par le lanceur d'alerte.</w:t>
      </w:r>
    </w:p>
    <w:p>
      <w:pPr>
        <w:pStyle w:val="Heading2"/>
      </w:pPr>
      <w:r>
        <w:t xml:space="preserve">4.4 Représailles</w:t>
      </w:r>
    </w:p>
    <w:p>
      <w:pPr>
        <w:spacing w:before="120" w:after="120"/>
      </w:pPr>
      <w:r>
        <w:t xml:space="preserve">Toute mesure défavorable prise à l'encontre d'un lanceur d'alerte, d'un facilitateur ou d'une personne en lien avec le lanceur d'alerte, en raison du signalement effectué. Cela inclut notamment : suspension, licenciement, rétrogradation, refus de promotion, modification des fonctions, sanctions disciplinaires, discrimination, intimidation, harcèlement.</w:t>
      </w:r>
    </w:p>
    <w:p>
      <w:pPr>
        <w:pStyle w:val="Heading2"/>
      </w:pPr>
      <w:r>
        <w:t xml:space="preserve">4.5 Signalement interne</w:t>
      </w:r>
    </w:p>
    <w:p>
      <w:pPr>
        <w:spacing w:before="120" w:after="120"/>
      </w:pPr>
      <w:r>
        <w:t xml:space="preserve">Communication d'informations sur des violations au sein de l'Entreprise via les canaux internes mis en place.</w:t>
      </w:r>
    </w:p>
    <w:p>
      <w:pPr>
        <w:pStyle w:val="Heading2"/>
      </w:pPr>
      <w:r>
        <w:t xml:space="preserve">4.6 Signalement externe</w:t>
      </w:r>
    </w:p>
    <w:p>
      <w:pPr>
        <w:spacing w:before="120" w:after="120"/>
      </w:pPr>
      <w:r>
        <w:t xml:space="preserve">Communication d'informations sur des violations aux autorités compétentes (Défenseur des droits, autorités administratives, autorité judiciaire, institutions européennes).</w:t>
      </w:r>
    </w:p>
    <w:p>
      <w:pPr>
        <w:pStyle w:val="Heading2"/>
      </w:pPr>
      <w:r>
        <w:t xml:space="preserve">4.7 Divulgation publique</w:t>
      </w:r>
    </w:p>
    <w:p>
      <w:pPr>
        <w:spacing w:before="120" w:after="120"/>
      </w:pPr>
      <w:r>
        <w:t xml:space="preserve">Mise à disposition du public d'informations sur des violations, notamment via les médias ou les réseaux sociaux.</w:t>
      </w:r>
    </w:p>
    <w:p>
      <w:pPr>
        <w:pStyle w:val="Heading1"/>
      </w:pPr>
      <w:r>
        <w:t xml:space="preserve">5. FAITS POUVANT FAIRE L'OBJET D'UN SIGNALEMENT</w:t>
      </w:r>
    </w:p>
    <w:p>
      <w:pPr>
        <w:pStyle w:val="Heading2"/>
      </w:pPr>
      <w:r>
        <w:t xml:space="preserve">5.1 Faits concernés</w:t>
      </w:r>
    </w:p>
    <w:p>
      <w:pPr>
        <w:spacing w:before="120" w:after="120"/>
      </w:pPr>
      <w:r>
        <w:t xml:space="preserve">Le dispositif d'alerte permet de signaler les faits suivants :</w:t>
      </w:r>
    </w:p>
    <w:p>
      <w:pPr>
        <w:pStyle w:val="ListParagraph"/>
        <w:numPr>
          <w:ilvl w:val="0"/>
          <w:numId w:val="3"/>
        </w:numPr>
      </w:pPr>
      <w:r>
        <w:rPr>
          <w:b/>
          <w:bCs/>
        </w:rPr>
        <w:t xml:space="preserve">Crimes et délits : </w:t>
      </w:r>
      <w:r>
        <w:t xml:space="preserve">tout acte susceptible de qualification pénale</w:t>
      </w:r>
    </w:p>
    <w:p>
      <w:pPr>
        <w:pStyle w:val="ListParagraph"/>
        <w:numPr>
          <w:ilvl w:val="0"/>
          <w:numId w:val="3"/>
        </w:numPr>
      </w:pPr>
      <w:r>
        <w:rPr>
          <w:b/>
          <w:bCs/>
        </w:rPr>
        <w:t xml:space="preserve">Violations de la loi ou du règlement : </w:t>
      </w:r>
      <w:r>
        <w:t xml:space="preserve">manquements aux dispositions législatives et réglementaires</w:t>
      </w:r>
    </w:p>
    <w:p>
      <w:pPr>
        <w:pStyle w:val="ListParagraph"/>
        <w:numPr>
          <w:ilvl w:val="0"/>
          <w:numId w:val="3"/>
        </w:numPr>
      </w:pPr>
      <w:r>
        <w:rPr>
          <w:b/>
          <w:bCs/>
        </w:rPr>
        <w:t xml:space="preserve">Violations du droit de l'Union européenne : </w:t>
      </w:r>
      <w:r>
        <w:t xml:space="preserve">marchés publics, services financiers, sécurité des produits, protection de l'environnement, santé publique, protection des consommateurs, protection des données personnelles</w:t>
      </w:r>
    </w:p>
    <w:p>
      <w:pPr>
        <w:pStyle w:val="ListParagraph"/>
        <w:numPr>
          <w:ilvl w:val="0"/>
          <w:numId w:val="3"/>
        </w:numPr>
      </w:pPr>
      <w:r>
        <w:rPr>
          <w:b/>
          <w:bCs/>
        </w:rPr>
        <w:t xml:space="preserve">Violations des engagements internationaux : </w:t>
      </w:r>
      <w:r>
        <w:t xml:space="preserve">traités et conventions ratifiés par la France</w:t>
      </w:r>
    </w:p>
    <w:p>
      <w:pPr>
        <w:pStyle w:val="ListParagraph"/>
        <w:numPr>
          <w:ilvl w:val="0"/>
          <w:numId w:val="3"/>
        </w:numPr>
      </w:pPr>
      <w:r>
        <w:rPr>
          <w:b/>
          <w:bCs/>
        </w:rPr>
        <w:t xml:space="preserve">Menaces ou préjudices pour l'intérêt général : </w:t>
      </w:r>
      <w:r>
        <w:t xml:space="preserve">risques pour la santé publique, l'environnement, la sécurité</w:t>
      </w:r>
    </w:p>
    <w:p>
      <w:pPr>
        <w:spacing w:before="200" w:after="120"/>
      </w:pPr>
      <w:r>
        <w:t xml:space="preserve">À titre d'exemples non exhaustifs, peuvent être signalés :</w:t>
      </w:r>
    </w:p>
    <w:p>
      <w:pPr>
        <w:pStyle w:val="ListParagraph"/>
        <w:numPr>
          <w:ilvl w:val="0"/>
          <w:numId w:val="2"/>
        </w:numPr>
      </w:pPr>
      <w:r>
        <w:t xml:space="preserve">Corruption, trafic d'influence, prise illégale d'intérêts</w:t>
      </w:r>
    </w:p>
    <w:p>
      <w:pPr>
        <w:pStyle w:val="ListParagraph"/>
        <w:numPr>
          <w:ilvl w:val="0"/>
          <w:numId w:val="2"/>
        </w:numPr>
      </w:pPr>
      <w:r>
        <w:t xml:space="preserve">Conflits d'intérêts</w:t>
      </w:r>
    </w:p>
    <w:p>
      <w:pPr>
        <w:pStyle w:val="ListParagraph"/>
        <w:numPr>
          <w:ilvl w:val="0"/>
          <w:numId w:val="2"/>
        </w:numPr>
      </w:pPr>
      <w:r>
        <w:t xml:space="preserve">Fraude, détournement de fonds, faux et usage de faux</w:t>
      </w:r>
    </w:p>
    <w:p>
      <w:pPr>
        <w:pStyle w:val="ListParagraph"/>
        <w:numPr>
          <w:ilvl w:val="0"/>
          <w:numId w:val="2"/>
        </w:numPr>
      </w:pPr>
      <w:r>
        <w:t xml:space="preserve">Pratiques anticoncurrentielles</w:t>
      </w:r>
    </w:p>
    <w:p>
      <w:pPr>
        <w:pStyle w:val="ListParagraph"/>
        <w:numPr>
          <w:ilvl w:val="0"/>
          <w:numId w:val="2"/>
        </w:numPr>
      </w:pPr>
      <w:r>
        <w:t xml:space="preserve">Blanchiment d'argent, financement du terrorisme</w:t>
      </w:r>
    </w:p>
    <w:p>
      <w:pPr>
        <w:pStyle w:val="ListParagraph"/>
        <w:numPr>
          <w:ilvl w:val="0"/>
          <w:numId w:val="2"/>
        </w:numPr>
      </w:pPr>
      <w:r>
        <w:t xml:space="preserve">Violations des règles de sanctions internationales et d'embargo</w:t>
      </w:r>
    </w:p>
    <w:p>
      <w:pPr>
        <w:pStyle w:val="ListParagraph"/>
        <w:numPr>
          <w:ilvl w:val="0"/>
          <w:numId w:val="2"/>
        </w:numPr>
      </w:pPr>
      <w:r>
        <w:t xml:space="preserve">Harcèlement moral ou sexuel, discrimination</w:t>
      </w:r>
    </w:p>
    <w:p>
      <w:pPr>
        <w:pStyle w:val="ListParagraph"/>
        <w:numPr>
          <w:ilvl w:val="0"/>
          <w:numId w:val="2"/>
        </w:numPr>
      </w:pPr>
      <w:r>
        <w:t xml:space="preserve">Violations des droits de l'Homme</w:t>
      </w:r>
    </w:p>
    <w:p>
      <w:pPr>
        <w:pStyle w:val="ListParagraph"/>
        <w:numPr>
          <w:ilvl w:val="0"/>
          <w:numId w:val="2"/>
        </w:numPr>
      </w:pPr>
      <w:r>
        <w:t xml:space="preserve">Atteintes graves à l'environnement</w:t>
      </w:r>
    </w:p>
    <w:p>
      <w:pPr>
        <w:pStyle w:val="ListParagraph"/>
        <w:numPr>
          <w:ilvl w:val="0"/>
          <w:numId w:val="2"/>
        </w:numPr>
      </w:pPr>
      <w:r>
        <w:t xml:space="preserve">Atteintes graves à la santé et à la sécurité des personnes</w:t>
      </w:r>
    </w:p>
    <w:p>
      <w:pPr>
        <w:pStyle w:val="ListParagraph"/>
        <w:numPr>
          <w:ilvl w:val="0"/>
          <w:numId w:val="2"/>
        </w:numPr>
      </w:pPr>
      <w:r>
        <w:t xml:space="preserve">Violations de la protection des données personnelles</w:t>
      </w:r>
    </w:p>
    <w:p>
      <w:pPr>
        <w:pStyle w:val="ListParagraph"/>
        <w:numPr>
          <w:ilvl w:val="0"/>
          <w:numId w:val="2"/>
        </w:numPr>
      </w:pPr>
      <w:r>
        <w:t xml:space="preserve">Violations du code de conduite ou de la charte éthique de l'Entreprise</w:t>
      </w:r>
    </w:p>
    <w:p>
      <w:pPr>
        <w:pStyle w:val="Heading2"/>
      </w:pPr>
      <w:r>
        <w:t xml:space="preserve">5.2 Exclusions</w:t>
      </w:r>
    </w:p>
    <w:p>
      <w:pPr>
        <w:spacing w:before="120" w:after="120"/>
      </w:pPr>
      <w:r>
        <w:t xml:space="preserve">Sont exclus du champ du dispositif d'alerte :</w:t>
      </w:r>
    </w:p>
    <w:p>
      <w:pPr>
        <w:pStyle w:val="ListParagraph"/>
        <w:numPr>
          <w:ilvl w:val="0"/>
          <w:numId w:val="2"/>
        </w:numPr>
      </w:pPr>
      <w:r>
        <w:t xml:space="preserve">Les faits, informations ou documents couverts par le secret de la défense nationale</w:t>
      </w:r>
    </w:p>
    <w:p>
      <w:pPr>
        <w:pStyle w:val="ListParagraph"/>
        <w:numPr>
          <w:ilvl w:val="0"/>
          <w:numId w:val="2"/>
        </w:numPr>
      </w:pPr>
      <w:r>
        <w:t xml:space="preserve">Le secret médical</w:t>
      </w:r>
    </w:p>
    <w:p>
      <w:pPr>
        <w:pStyle w:val="ListParagraph"/>
        <w:numPr>
          <w:ilvl w:val="0"/>
          <w:numId w:val="2"/>
        </w:numPr>
      </w:pPr>
      <w:r>
        <w:t xml:space="preserve">Le secret des délibérations judiciaires</w:t>
      </w:r>
    </w:p>
    <w:p>
      <w:pPr>
        <w:pStyle w:val="ListParagraph"/>
        <w:numPr>
          <w:ilvl w:val="0"/>
          <w:numId w:val="2"/>
        </w:numPr>
      </w:pPr>
      <w:r>
        <w:t xml:space="preserve">Le secret de l'enquête et de l'instruction judiciaires</w:t>
      </w:r>
    </w:p>
    <w:p>
      <w:pPr>
        <w:pStyle w:val="ListParagraph"/>
        <w:numPr>
          <w:ilvl w:val="0"/>
          <w:numId w:val="2"/>
        </w:numPr>
      </w:pPr>
      <w:r>
        <w:t xml:space="preserve">Le secret professionnel de l'avocat</w:t>
      </w:r>
    </w:p>
    <w:p>
      <w:pPr>
        <w:spacing w:before="120" w:after="120"/>
      </w:pPr>
      <w:r>
        <w:rPr>
          <w:b/>
          <w:bCs/>
        </w:rPr>
        <w:t xml:space="preserve">Important : </w:t>
      </w:r>
      <w:r>
        <w:t xml:space="preserve">Ce dispositif ne se substitue pas aux canaux classiques de communication interne (ressources humaines, représentants du personnel, médecine du travail) pour les questions individuelles ou les réclamations ne relevant pas du champ de l'alerte.</w:t>
      </w:r>
    </w:p>
    <w:p>
      <w:r>
        <w:br w:type="page"/>
      </w:r>
    </w:p>
    <w:p>
      <w:pPr>
        <w:pStyle w:val="Heading1"/>
      </w:pPr>
      <w:r>
        <w:t xml:space="preserve">6. CANAUX DE SIGNALEMENT</w:t>
      </w:r>
    </w:p>
    <w:p>
      <w:pPr>
        <w:spacing w:before="200" w:after="120"/>
      </w:pPr>
      <w:r>
        <w:t xml:space="preserve">Conformément à la loi, le lanceur d'alerte dispose d'un choix libre entre le signalement interne et le signalement externe, sans hiérarchie obligatoire entre ces canaux.</w:t>
      </w:r>
    </w:p>
    <w:p>
      <w:pPr>
        <w:pStyle w:val="Heading2"/>
      </w:pPr>
      <w:r>
        <w:t xml:space="preserve">6.1 Signalement interne</w:t>
      </w:r>
    </w:p>
    <w:p>
      <w:pPr>
        <w:spacing w:before="120" w:after="120"/>
      </w:pPr>
      <w:r>
        <w:t xml:space="preserve">L'Entreprise met à disposition plusieurs canaux internes de signalement :</w:t>
      </w:r>
    </w:p>
    <w:p>
      <w:pPr>
        <w:pStyle w:val="Heading3"/>
      </w:pPr>
      <w:r>
        <w:t xml:space="preserve">a) Plateforme de signalement en ligne</w:t>
      </w:r>
    </w:p>
    <w:p>
      <w:pPr>
        <w:spacing w:before="80" w:after="80"/>
      </w:pPr>
      <w:r>
        <w:t xml:space="preserve">Une plateforme sécurisée accessible 24h/24 et 7j/7 : [URL DE LA PLATEFORME]</w:t>
      </w:r>
    </w:p>
    <w:p>
      <w:pPr>
        <w:spacing w:after="80"/>
      </w:pPr>
      <w:r>
        <w:t xml:space="preserve">Cette plateforme permet de déposer des signalements écrits, de joindre des pièces justificatives et de suivre l'avancement du traitement de l'alerte.</w:t>
      </w:r>
    </w:p>
    <w:p>
      <w:pPr>
        <w:pStyle w:val="Heading3"/>
      </w:pPr>
      <w:r>
        <w:t xml:space="preserve">b) Adresse e-mail dédiée</w:t>
      </w:r>
    </w:p>
    <w:p>
      <w:pPr>
        <w:spacing w:before="80" w:after="80"/>
      </w:pPr>
      <w:r>
        <w:t xml:space="preserve">[adresse-alerte@entreprise.com]</w:t>
      </w:r>
    </w:p>
    <w:p>
      <w:pPr>
        <w:pStyle w:val="Heading3"/>
      </w:pPr>
      <w:r>
        <w:t xml:space="preserve">c) Ligne téléphonique dédiée</w:t>
      </w:r>
    </w:p>
    <w:p>
      <w:pPr>
        <w:spacing w:before="80" w:after="80"/>
      </w:pPr>
      <w:r>
        <w:t xml:space="preserve">[Numéro de téléphone] – Disponible [horaires]</w:t>
      </w:r>
    </w:p>
    <w:p>
      <w:pPr>
        <w:spacing w:after="80"/>
      </w:pPr>
      <w:r>
        <w:t xml:space="preserve">Langues disponibles : [français, anglais, etc.]</w:t>
      </w:r>
    </w:p>
    <w:p>
      <w:pPr>
        <w:pStyle w:val="Heading3"/>
      </w:pPr>
      <w:r>
        <w:t xml:space="preserve">d) Courrier postal</w:t>
      </w:r>
    </w:p>
    <w:p>
      <w:pPr>
        <w:spacing w:before="80" w:after="80"/>
      </w:pPr>
      <w:r>
        <w:t xml:space="preserve">Référent Alerte Éthique</w:t>
      </w:r>
    </w:p>
    <w:p>
      <w:r>
        <w:t xml:space="preserve">[NOM DE L'ENTREPRISE]</w:t>
      </w:r>
    </w:p>
    <w:p>
      <w:r>
        <w:t xml:space="preserve">[Adresse postale]</w:t>
      </w:r>
    </w:p>
    <w:p>
      <w:pPr>
        <w:spacing w:after="80"/>
      </w:pPr>
      <w:r>
        <w:t xml:space="preserve">Mention « CONFIDENTIEL – ALERTE » sur l'enveloppe</w:t>
      </w:r>
    </w:p>
    <w:p>
      <w:pPr>
        <w:pStyle w:val="Heading3"/>
      </w:pPr>
      <w:r>
        <w:t xml:space="preserve">e) Entretien physique ou visioconférence</w:t>
      </w:r>
    </w:p>
    <w:p>
      <w:pPr>
        <w:spacing w:before="80" w:after="80"/>
      </w:pPr>
      <w:r>
        <w:t xml:space="preserve">Sur rendez-vous auprès du Référent Alerte Éthique ou du Responsable Éthique et Conformité.</w:t>
      </w:r>
    </w:p>
    <w:p>
      <w:pPr>
        <w:pStyle w:val="Heading2"/>
      </w:pPr>
      <w:r>
        <w:t xml:space="preserve">6.2 Signalement externe</w:t>
      </w:r>
    </w:p>
    <w:p>
      <w:pPr>
        <w:spacing w:before="120" w:after="120"/>
      </w:pPr>
      <w:r>
        <w:t xml:space="preserve">Le lanceur d'alerte peut également adresser directement son signalement aux autorités externes compétentes :</w:t>
      </w:r>
    </w:p>
    <w:p>
      <w:pPr>
        <w:pStyle w:val="ListParagraph"/>
        <w:numPr>
          <w:ilvl w:val="0"/>
          <w:numId w:val="2"/>
        </w:numPr>
      </w:pPr>
      <w:r>
        <w:rPr>
          <w:b/>
          <w:bCs/>
        </w:rPr>
        <w:t xml:space="preserve">Le Défenseur des droits : </w:t>
      </w:r>
      <w:r>
        <w:t xml:space="preserve">www.defenseurdesdroits.fr</w:t>
      </w:r>
    </w:p>
    <w:p>
      <w:pPr>
        <w:pStyle w:val="ListParagraph"/>
        <w:numPr>
          <w:ilvl w:val="0"/>
          <w:numId w:val="2"/>
        </w:numPr>
      </w:pPr>
      <w:r>
        <w:rPr>
          <w:b/>
          <w:bCs/>
        </w:rPr>
        <w:t xml:space="preserve">L'autorité judiciaire : </w:t>
      </w:r>
      <w:r>
        <w:t xml:space="preserve">Procureur de la République</w:t>
      </w:r>
    </w:p>
    <w:p>
      <w:pPr>
        <w:pStyle w:val="ListParagraph"/>
        <w:numPr>
          <w:ilvl w:val="0"/>
          <w:numId w:val="2"/>
        </w:numPr>
      </w:pPr>
      <w:r>
        <w:rPr>
          <w:b/>
          <w:bCs/>
        </w:rPr>
        <w:t xml:space="preserve">Les autorités administratives compétentes : </w:t>
      </w:r>
      <w:r>
        <w:t xml:space="preserve">selon le domaine concerné (AMF, ACPR, CNIL, AFA, ANSM, etc.)</w:t>
      </w:r>
    </w:p>
    <w:p>
      <w:pPr>
        <w:pStyle w:val="ListParagraph"/>
        <w:numPr>
          <w:ilvl w:val="0"/>
          <w:numId w:val="2"/>
        </w:numPr>
      </w:pPr>
      <w:r>
        <w:rPr>
          <w:b/>
          <w:bCs/>
        </w:rPr>
        <w:t xml:space="preserve">Les institutions européennes compétentes </w:t>
      </w:r>
    </w:p>
    <w:p>
      <w:pPr>
        <w:pStyle w:val="Heading2"/>
      </w:pPr>
      <w:r>
        <w:t xml:space="preserve">6.3 Divulgation publique</w:t>
      </w:r>
    </w:p>
    <w:p>
      <w:pPr>
        <w:spacing w:before="120" w:after="120"/>
      </w:pPr>
      <w:r>
        <w:t xml:space="preserve">Le lanceur d'alerte peut procéder à une divulgation publique directe uniquement dans les cas suivants :</w:t>
      </w:r>
    </w:p>
    <w:p>
      <w:pPr>
        <w:pStyle w:val="ListParagraph"/>
        <w:numPr>
          <w:ilvl w:val="0"/>
          <w:numId w:val="2"/>
        </w:numPr>
      </w:pPr>
      <w:r>
        <w:t xml:space="preserve">En cas de danger grave et imminent</w:t>
      </w:r>
    </w:p>
    <w:p>
      <w:pPr>
        <w:pStyle w:val="ListParagraph"/>
        <w:numPr>
          <w:ilvl w:val="0"/>
          <w:numId w:val="2"/>
        </w:numPr>
      </w:pPr>
      <w:r>
        <w:t xml:space="preserve">En cas de risque de dommages irréversibles</w:t>
      </w:r>
    </w:p>
    <w:p>
      <w:pPr>
        <w:pStyle w:val="ListParagraph"/>
        <w:numPr>
          <w:ilvl w:val="0"/>
          <w:numId w:val="2"/>
        </w:numPr>
      </w:pPr>
      <w:r>
        <w:t xml:space="preserve">Lorsqu'il existe un risque de représailles</w:t>
      </w:r>
    </w:p>
    <w:p>
      <w:pPr>
        <w:pStyle w:val="ListParagraph"/>
        <w:numPr>
          <w:ilvl w:val="0"/>
          <w:numId w:val="2"/>
        </w:numPr>
      </w:pPr>
      <w:r>
        <w:t xml:space="preserve">En l'absence de traitement approprié dans les délais légaux suite à un signalement externe</w:t>
      </w:r>
    </w:p>
    <w:p>
      <w:pPr>
        <w:pStyle w:val="Heading1"/>
      </w:pPr>
      <w:r>
        <w:t xml:space="preserve">7. PROCÉDURE DE SIGNALEMENT INTERNE</w:t>
      </w:r>
    </w:p>
    <w:p>
      <w:pPr>
        <w:pStyle w:val="Heading2"/>
      </w:pPr>
      <w:r>
        <w:t xml:space="preserve">7.1 Modalités du signalement</w:t>
      </w:r>
    </w:p>
    <w:p>
      <w:pPr>
        <w:spacing w:before="120" w:after="120"/>
      </w:pPr>
      <w:r>
        <w:t xml:space="preserve">Le signalement peut être effectué :</w:t>
      </w:r>
    </w:p>
    <w:p>
      <w:pPr>
        <w:pStyle w:val="ListParagraph"/>
        <w:numPr>
          <w:ilvl w:val="0"/>
          <w:numId w:val="2"/>
        </w:numPr>
      </w:pPr>
      <w:r>
        <w:rPr>
          <w:b/>
          <w:bCs/>
        </w:rPr>
        <w:t xml:space="preserve">Par écrit : </w:t>
      </w:r>
      <w:r>
        <w:t xml:space="preserve">via la plateforme en ligne, par e-mail ou par courrier postal</w:t>
      </w:r>
    </w:p>
    <w:p>
      <w:pPr>
        <w:pStyle w:val="ListParagraph"/>
        <w:numPr>
          <w:ilvl w:val="0"/>
          <w:numId w:val="2"/>
        </w:numPr>
      </w:pPr>
      <w:r>
        <w:rPr>
          <w:b/>
          <w:bCs/>
        </w:rPr>
        <w:t xml:space="preserve">Oralement : </w:t>
      </w:r>
      <w:r>
        <w:t xml:space="preserve">par téléphone ou lors d'une rencontre physique/visioconférence</w:t>
      </w:r>
    </w:p>
    <w:p>
      <w:pPr>
        <w:spacing w:before="120" w:after="120"/>
      </w:pPr>
      <w:r>
        <w:t xml:space="preserve">En cas de signalement oral, un compte-rendu écrit est établi avec l'accord du lanceur d'alerte.</w:t>
      </w:r>
    </w:p>
    <w:p>
      <w:pPr>
        <w:pStyle w:val="Heading2"/>
      </w:pPr>
      <w:r>
        <w:t xml:space="preserve">7.2 Contenu du signalement</w:t>
      </w:r>
    </w:p>
    <w:p>
      <w:pPr>
        <w:spacing w:before="120" w:after="120"/>
      </w:pPr>
      <w:r>
        <w:t xml:space="preserve">Pour permettre un traitement efficace, le signalement doit contenir, dans la mesure du possible :</w:t>
      </w:r>
    </w:p>
    <w:p>
      <w:pPr>
        <w:pStyle w:val="ListParagraph"/>
        <w:numPr>
          <w:ilvl w:val="0"/>
          <w:numId w:val="4"/>
        </w:numPr>
      </w:pPr>
      <w:r>
        <w:t xml:space="preserve">La description précise et factuelle des faits signalés</w:t>
      </w:r>
    </w:p>
    <w:p>
      <w:pPr>
        <w:pStyle w:val="ListParagraph"/>
        <w:numPr>
          <w:ilvl w:val="0"/>
          <w:numId w:val="4"/>
        </w:numPr>
      </w:pPr>
      <w:r>
        <w:t xml:space="preserve">La date et le lieu des faits</w:t>
      </w:r>
    </w:p>
    <w:p>
      <w:pPr>
        <w:pStyle w:val="ListParagraph"/>
        <w:numPr>
          <w:ilvl w:val="0"/>
          <w:numId w:val="4"/>
        </w:numPr>
      </w:pPr>
      <w:r>
        <w:t xml:space="preserve">L'identité des personnes impliquées ou témoins (si connue)</w:t>
      </w:r>
    </w:p>
    <w:p>
      <w:pPr>
        <w:pStyle w:val="ListParagraph"/>
        <w:numPr>
          <w:ilvl w:val="0"/>
          <w:numId w:val="4"/>
        </w:numPr>
      </w:pPr>
      <w:r>
        <w:t xml:space="preserve">Tout document ou élément de preuve appuyant le signalement</w:t>
      </w:r>
    </w:p>
    <w:p>
      <w:pPr>
        <w:pStyle w:val="ListParagraph"/>
        <w:numPr>
          <w:ilvl w:val="0"/>
          <w:numId w:val="4"/>
        </w:numPr>
      </w:pPr>
      <w:r>
        <w:t xml:space="preserve">Les coordonnées de l'auteur du signalement (sauf alerte anonyme)</w:t>
      </w:r>
    </w:p>
    <w:p>
      <w:pPr>
        <w:pStyle w:val="Heading2"/>
      </w:pPr>
      <w:r>
        <w:t xml:space="preserve">7.3 Signalement anonyme</w:t>
      </w:r>
    </w:p>
    <w:p>
      <w:pPr>
        <w:spacing w:before="120" w:after="120"/>
      </w:pPr>
      <w:r>
        <w:t xml:space="preserve">L'Entreprise accepte les signalements anonymes. Toutefois, l'anonymat peut limiter les possibilités d'investigation et de retour d'information. Le lanceur d'alerte anonyme est invité à consulter régulièrement la plateforme pour prendre connaissance des éventuelles demandes de précisions.</w:t>
      </w:r>
    </w:p>
    <w:p>
      <w:pPr>
        <w:pStyle w:val="Heading1"/>
      </w:pPr>
      <w:r>
        <w:t xml:space="preserve">8. TRAITEMENT DES ALERTES</w:t>
      </w:r>
    </w:p>
    <w:p>
      <w:pPr>
        <w:pStyle w:val="Heading2"/>
      </w:pPr>
      <w:r>
        <w:t xml:space="preserve">8.1 Réception et accusé de réception</w:t>
      </w:r>
    </w:p>
    <w:p>
      <w:pPr>
        <w:spacing w:before="120" w:after="120"/>
      </w:pPr>
      <w:r>
        <w:t xml:space="preserve">L'auteur du signalement reçoit un accusé de réception écrit dans un délai de </w:t>
      </w:r>
      <w:r>
        <w:rPr>
          <w:b/>
          <w:bCs/>
        </w:rPr>
        <w:t xml:space="preserve">7 jours ouvrés </w:t>
      </w:r>
      <w:r>
        <w:t xml:space="preserve">à compter de la réception du signalement, sauf si le signalement est anonyme.</w:t>
      </w:r>
    </w:p>
    <w:p>
      <w:pPr>
        <w:pStyle w:val="Heading2"/>
      </w:pPr>
      <w:r>
        <w:t xml:space="preserve">8.2 Analyse de la recevabilité</w:t>
      </w:r>
    </w:p>
    <w:p>
      <w:pPr>
        <w:spacing w:before="120" w:after="120"/>
      </w:pPr>
      <w:r>
        <w:t xml:space="preserve">Le Référent Alerte vérifie :</w:t>
      </w:r>
    </w:p>
    <w:p>
      <w:pPr>
        <w:pStyle w:val="ListParagraph"/>
        <w:numPr>
          <w:ilvl w:val="0"/>
          <w:numId w:val="2"/>
        </w:numPr>
      </w:pPr>
      <w:r>
        <w:t xml:space="preserve">Que le signalement entre dans le champ du dispositif d'alerte</w:t>
      </w:r>
    </w:p>
    <w:p>
      <w:pPr>
        <w:pStyle w:val="ListParagraph"/>
        <w:numPr>
          <w:ilvl w:val="0"/>
          <w:numId w:val="2"/>
        </w:numPr>
      </w:pPr>
      <w:r>
        <w:t xml:space="preserve">Que les éléments fournis sont suffisamment précis pour permettre une investigation</w:t>
      </w:r>
    </w:p>
    <w:p>
      <w:pPr>
        <w:pStyle w:val="ListParagraph"/>
        <w:numPr>
          <w:ilvl w:val="0"/>
          <w:numId w:val="2"/>
        </w:numPr>
      </w:pPr>
      <w:r>
        <w:t xml:space="preserve">Que l'auteur du signalement remplit les conditions pour bénéficier du statut de lanceur d'alerte</w:t>
      </w:r>
    </w:p>
    <w:p>
      <w:pPr>
        <w:spacing w:before="120" w:after="120"/>
      </w:pPr>
      <w:r>
        <w:t xml:space="preserve">En cas d'irrecevabilité, l'auteur du signalement en est informé avec les motifs.</w:t>
      </w:r>
    </w:p>
    <w:p>
      <w:pPr>
        <w:pStyle w:val="Heading2"/>
      </w:pPr>
      <w:r>
        <w:t xml:space="preserve">8.3 Investigation</w:t>
      </w:r>
    </w:p>
    <w:p>
      <w:pPr>
        <w:spacing w:before="120" w:after="120"/>
      </w:pPr>
      <w:r>
        <w:t xml:space="preserve">Si le signalement est recevable, une investigation est diligentée. Elle peut comprendre :</w:t>
      </w:r>
    </w:p>
    <w:p>
      <w:pPr>
        <w:pStyle w:val="ListParagraph"/>
        <w:numPr>
          <w:ilvl w:val="0"/>
          <w:numId w:val="2"/>
        </w:numPr>
      </w:pPr>
      <w:r>
        <w:t xml:space="preserve">Des demandes de précisions auprès du lanceur d'alerte</w:t>
      </w:r>
    </w:p>
    <w:p>
      <w:pPr>
        <w:pStyle w:val="ListParagraph"/>
        <w:numPr>
          <w:ilvl w:val="0"/>
          <w:numId w:val="2"/>
        </w:numPr>
      </w:pPr>
      <w:r>
        <w:t xml:space="preserve">L'examen des documents et pièces communiqués</w:t>
      </w:r>
    </w:p>
    <w:p>
      <w:pPr>
        <w:pStyle w:val="ListParagraph"/>
        <w:numPr>
          <w:ilvl w:val="0"/>
          <w:numId w:val="2"/>
        </w:numPr>
      </w:pPr>
      <w:r>
        <w:t xml:space="preserve">Des auditions de témoins</w:t>
      </w:r>
    </w:p>
    <w:p>
      <w:pPr>
        <w:pStyle w:val="ListParagraph"/>
        <w:numPr>
          <w:ilvl w:val="0"/>
          <w:numId w:val="2"/>
        </w:numPr>
      </w:pPr>
      <w:r>
        <w:t xml:space="preserve">Le recours à des experts internes ou externes</w:t>
      </w:r>
    </w:p>
    <w:p>
      <w:pPr>
        <w:spacing w:before="120" w:after="120"/>
      </w:pPr>
      <w:r>
        <w:t xml:space="preserve">L'investigation est conduite de manière indépendante, objective et impartiale.</w:t>
      </w:r>
    </w:p>
    <w:p>
      <w:pPr>
        <w:pStyle w:val="Heading2"/>
      </w:pPr>
      <w:r>
        <w:t xml:space="preserve">8.4 Délais de traitement</w:t>
      </w:r>
    </w:p>
    <w:p>
      <w:pPr>
        <w:spacing w:before="120" w:after="120"/>
      </w:pPr>
      <w:r>
        <w:t xml:space="preserve">L'auteur du signalement est informé des mesures envisagées ou prises dans un délai de </w:t>
      </w:r>
      <w:r>
        <w:rPr>
          <w:b/>
          <w:bCs/>
        </w:rPr>
        <w:t xml:space="preserve">3 mois maximum </w:t>
      </w:r>
      <w:r>
        <w:t xml:space="preserve">à compter de l'accusé de réception (ou à défaut, dans les 3 mois suivant l'expiration du délai de 7 jours ouvrés).</w:t>
      </w:r>
    </w:p>
    <w:p>
      <w:pPr>
        <w:spacing w:after="120"/>
      </w:pPr>
      <w:r>
        <w:t xml:space="preserve">Ce délai peut être étendu à 6 mois si les circonstances particulières de l'affaire le justifient, notamment en raison de la complexité des faits. Le lanceur d'alerte en est alors informé.</w:t>
      </w:r>
    </w:p>
    <w:p>
      <w:pPr>
        <w:pStyle w:val="Heading2"/>
      </w:pPr>
      <w:r>
        <w:t xml:space="preserve">8.5 Clôture et suites données</w:t>
      </w:r>
    </w:p>
    <w:p>
      <w:pPr>
        <w:spacing w:before="120" w:after="120"/>
      </w:pPr>
      <w:r>
        <w:t xml:space="preserve">À l'issue de l'investigation, le Référent Alerte informe le lanceur d'alerte de la clôture du dossier et des suites données. Les suites peuvent inclure :</w:t>
      </w:r>
    </w:p>
    <w:p>
      <w:pPr>
        <w:pStyle w:val="ListParagraph"/>
        <w:numPr>
          <w:ilvl w:val="0"/>
          <w:numId w:val="2"/>
        </w:numPr>
      </w:pPr>
      <w:r>
        <w:t xml:space="preserve">Des mesures correctives ou préventives</w:t>
      </w:r>
    </w:p>
    <w:p>
      <w:pPr>
        <w:pStyle w:val="ListParagraph"/>
        <w:numPr>
          <w:ilvl w:val="0"/>
          <w:numId w:val="2"/>
        </w:numPr>
      </w:pPr>
      <w:r>
        <w:t xml:space="preserve">Des procédures disciplinaires</w:t>
      </w:r>
    </w:p>
    <w:p>
      <w:pPr>
        <w:pStyle w:val="ListParagraph"/>
        <w:numPr>
          <w:ilvl w:val="0"/>
          <w:numId w:val="2"/>
        </w:numPr>
      </w:pPr>
      <w:r>
        <w:t xml:space="preserve">Une transmission aux autorités compétentes</w:t>
      </w:r>
    </w:p>
    <w:p>
      <w:pPr>
        <w:pStyle w:val="ListParagraph"/>
        <w:numPr>
          <w:ilvl w:val="0"/>
          <w:numId w:val="2"/>
        </w:numPr>
      </w:pPr>
      <w:r>
        <w:t xml:space="preserve">Un classement sans suite motivé</w:t>
      </w:r>
    </w:p>
    <w:p>
      <w:r>
        <w:br w:type="page"/>
      </w:r>
    </w:p>
    <w:p>
      <w:pPr>
        <w:pStyle w:val="Heading1"/>
      </w:pPr>
      <w:r>
        <w:t xml:space="preserve">9. PROTECTION DES LANCEURS D'ALERTE</w:t>
      </w:r>
    </w:p>
    <w:p>
      <w:pPr>
        <w:pStyle w:val="Heading2"/>
      </w:pPr>
      <w:r>
        <w:t xml:space="preserve">9.1 Interdiction des représailles</w:t>
      </w:r>
    </w:p>
    <w:p>
      <w:pPr>
        <w:spacing w:before="120" w:after="120"/>
      </w:pPr>
      <w:r>
        <w:t xml:space="preserve">L'Entreprise interdit formellement toute forme de représailles à l'encontre d'un lanceur d'alerte ayant effectué un signalement de bonne foi et selon les conditions prévues par la loi.</w:t>
      </w:r>
    </w:p>
    <w:p>
      <w:pPr>
        <w:spacing w:after="120"/>
      </w:pPr>
      <w:r>
        <w:t xml:space="preserve">Sont notamment interdites les mesures suivantes :</w:t>
      </w:r>
    </w:p>
    <w:p>
      <w:pPr>
        <w:pStyle w:val="ListParagraph"/>
        <w:numPr>
          <w:ilvl w:val="0"/>
          <w:numId w:val="2"/>
        </w:numPr>
      </w:pPr>
      <w:r>
        <w:t xml:space="preserve">Suspension, mise à pied, licenciement</w:t>
      </w:r>
    </w:p>
    <w:p>
      <w:pPr>
        <w:pStyle w:val="ListParagraph"/>
        <w:numPr>
          <w:ilvl w:val="0"/>
          <w:numId w:val="2"/>
        </w:numPr>
      </w:pPr>
      <w:r>
        <w:t xml:space="preserve">Rétrogradation, refus de promotion</w:t>
      </w:r>
    </w:p>
    <w:p>
      <w:pPr>
        <w:pStyle w:val="ListParagraph"/>
        <w:numPr>
          <w:ilvl w:val="0"/>
          <w:numId w:val="2"/>
        </w:numPr>
      </w:pPr>
      <w:r>
        <w:t xml:space="preserve">Transfert de fonctions, changement de lieu de travail</w:t>
      </w:r>
    </w:p>
    <w:p>
      <w:pPr>
        <w:pStyle w:val="ListParagraph"/>
        <w:numPr>
          <w:ilvl w:val="0"/>
          <w:numId w:val="2"/>
        </w:numPr>
      </w:pPr>
      <w:r>
        <w:t xml:space="preserve">Réduction de salaire, modification des horaires de travail</w:t>
      </w:r>
    </w:p>
    <w:p>
      <w:pPr>
        <w:pStyle w:val="ListParagraph"/>
        <w:numPr>
          <w:ilvl w:val="0"/>
          <w:numId w:val="2"/>
        </w:numPr>
      </w:pPr>
      <w:r>
        <w:t xml:space="preserve">Non-renouvellement de contrat</w:t>
      </w:r>
    </w:p>
    <w:p>
      <w:pPr>
        <w:pStyle w:val="ListParagraph"/>
        <w:numPr>
          <w:ilvl w:val="0"/>
          <w:numId w:val="2"/>
        </w:numPr>
      </w:pPr>
      <w:r>
        <w:t xml:space="preserve">Évaluation de performance négative ou référence négative</w:t>
      </w:r>
    </w:p>
    <w:p>
      <w:pPr>
        <w:pStyle w:val="ListParagraph"/>
        <w:numPr>
          <w:ilvl w:val="0"/>
          <w:numId w:val="2"/>
        </w:numPr>
      </w:pPr>
      <w:r>
        <w:t xml:space="preserve">Sanctions disciplinaires</w:t>
      </w:r>
    </w:p>
    <w:p>
      <w:pPr>
        <w:pStyle w:val="ListParagraph"/>
        <w:numPr>
          <w:ilvl w:val="0"/>
          <w:numId w:val="2"/>
        </w:numPr>
      </w:pPr>
      <w:r>
        <w:t xml:space="preserve">Coercition, intimidation, harcèlement</w:t>
      </w:r>
    </w:p>
    <w:p>
      <w:pPr>
        <w:pStyle w:val="ListParagraph"/>
        <w:numPr>
          <w:ilvl w:val="0"/>
          <w:numId w:val="2"/>
        </w:numPr>
      </w:pPr>
      <w:r>
        <w:t xml:space="preserve">Discrimination, traitement défavorable ou injuste</w:t>
      </w:r>
    </w:p>
    <w:p>
      <w:pPr>
        <w:pStyle w:val="ListParagraph"/>
        <w:numPr>
          <w:ilvl w:val="0"/>
          <w:numId w:val="2"/>
        </w:numPr>
      </w:pPr>
      <w:r>
        <w:t xml:space="preserve">Mise sur liste noire dans un secteur d'activité</w:t>
      </w:r>
    </w:p>
    <w:p>
      <w:pPr>
        <w:pStyle w:val="ListParagraph"/>
        <w:numPr>
          <w:ilvl w:val="0"/>
          <w:numId w:val="2"/>
        </w:numPr>
      </w:pPr>
      <w:r>
        <w:t xml:space="preserve">Atteinte à la réputation</w:t>
      </w:r>
    </w:p>
    <w:p>
      <w:pPr>
        <w:pStyle w:val="Heading2"/>
      </w:pPr>
      <w:r>
        <w:t xml:space="preserve">9.2 Personnes protégées</w:t>
      </w:r>
    </w:p>
    <w:p>
      <w:pPr>
        <w:spacing w:before="120" w:after="120"/>
      </w:pPr>
      <w:r>
        <w:t xml:space="preserve">La protection s'étend également :</w:t>
      </w:r>
    </w:p>
    <w:p>
      <w:pPr>
        <w:pStyle w:val="ListParagraph"/>
        <w:numPr>
          <w:ilvl w:val="0"/>
          <w:numId w:val="2"/>
        </w:numPr>
      </w:pPr>
      <w:r>
        <w:t xml:space="preserve">Aux facilitateurs</w:t>
      </w:r>
    </w:p>
    <w:p>
      <w:pPr>
        <w:pStyle w:val="ListParagraph"/>
        <w:numPr>
          <w:ilvl w:val="0"/>
          <w:numId w:val="2"/>
        </w:numPr>
      </w:pPr>
      <w:r>
        <w:t xml:space="preserve">Aux personnes physiques en lien avec le lanceur d'alerte (collègues, proches)</w:t>
      </w:r>
    </w:p>
    <w:p>
      <w:pPr>
        <w:pStyle w:val="ListParagraph"/>
        <w:numPr>
          <w:ilvl w:val="0"/>
          <w:numId w:val="2"/>
        </w:numPr>
      </w:pPr>
      <w:r>
        <w:t xml:space="preserve">Aux entités juridiques contrôlées par le lanceur d'alerte, pour lesquelles il travaille ou avec lesquelles il est en lien professionnel</w:t>
      </w:r>
    </w:p>
    <w:p>
      <w:pPr>
        <w:pStyle w:val="Heading2"/>
      </w:pPr>
      <w:r>
        <w:t xml:space="preserve">9.3 Irresponsabilité civile et pénale</w:t>
      </w:r>
    </w:p>
    <w:p>
      <w:pPr>
        <w:spacing w:before="120" w:after="120"/>
      </w:pPr>
      <w:r>
        <w:t xml:space="preserve">Le lanceur d'alerte qui respecte les conditions légales ne peut voir sa responsabilité civile ou pénale engagée du fait du signalement. Cette irresponsabilité couvre également l'obtention licite des informations signalées.</w:t>
      </w:r>
    </w:p>
    <w:p>
      <w:pPr>
        <w:pStyle w:val="Heading2"/>
      </w:pPr>
      <w:r>
        <w:t xml:space="preserve">9.4 Signalement de représailles</w:t>
      </w:r>
    </w:p>
    <w:p>
      <w:pPr>
        <w:spacing w:before="120" w:after="120"/>
      </w:pPr>
      <w:r>
        <w:t xml:space="preserve">Tout lanceur d'alerte, facilitateur ou personne protégée qui estime faire l'objet de représailles doit le signaler immédiatement via le dispositif d'alerte. Ce signalement fera l'objet d'un traitement prioritaire.</w:t>
      </w:r>
    </w:p>
    <w:p>
      <w:pPr>
        <w:pStyle w:val="Heading1"/>
      </w:pPr>
      <w:r>
        <w:t xml:space="preserve">10. CONFIDENTIALITÉ ET PROTECTION DES DONNÉES</w:t>
      </w:r>
    </w:p>
    <w:p>
      <w:pPr>
        <w:pStyle w:val="Heading2"/>
      </w:pPr>
      <w:r>
        <w:t xml:space="preserve">10.1 Garantie de confidentialité</w:t>
      </w:r>
    </w:p>
    <w:p>
      <w:pPr>
        <w:spacing w:before="120" w:after="120"/>
      </w:pPr>
      <w:r>
        <w:t xml:space="preserve">L'Entreprise garantit la stricte confidentialité :</w:t>
      </w:r>
    </w:p>
    <w:p>
      <w:pPr>
        <w:pStyle w:val="ListParagraph"/>
        <w:numPr>
          <w:ilvl w:val="0"/>
          <w:numId w:val="2"/>
        </w:numPr>
      </w:pPr>
      <w:r>
        <w:t xml:space="preserve">De l'identité du lanceur d'alerte</w:t>
      </w:r>
    </w:p>
    <w:p>
      <w:pPr>
        <w:pStyle w:val="ListParagraph"/>
        <w:numPr>
          <w:ilvl w:val="0"/>
          <w:numId w:val="2"/>
        </w:numPr>
      </w:pPr>
      <w:r>
        <w:t xml:space="preserve">De l'identité des personnes visées par le signalement</w:t>
      </w:r>
    </w:p>
    <w:p>
      <w:pPr>
        <w:pStyle w:val="ListParagraph"/>
        <w:numPr>
          <w:ilvl w:val="0"/>
          <w:numId w:val="2"/>
        </w:numPr>
      </w:pPr>
      <w:r>
        <w:t xml:space="preserve">De l'identité de tout tiers mentionné dans le signalement</w:t>
      </w:r>
    </w:p>
    <w:p>
      <w:pPr>
        <w:pStyle w:val="ListParagraph"/>
        <w:numPr>
          <w:ilvl w:val="0"/>
          <w:numId w:val="2"/>
        </w:numPr>
      </w:pPr>
      <w:r>
        <w:t xml:space="preserve">Du contenu du signalement et des pièces communiquées</w:t>
      </w:r>
    </w:p>
    <w:p>
      <w:pPr>
        <w:spacing w:before="120" w:after="120"/>
      </w:pPr>
      <w:r>
        <w:t xml:space="preserve">Les éléments permettant l'identification du lanceur d'alerte ne peuvent être divulgués qu'avec son consentement ou sur décision de l'autorité judiciaire. Le lanceur d'alerte en est alors préalablement informé.</w:t>
      </w:r>
    </w:p>
    <w:p>
      <w:pPr>
        <w:spacing w:after="120"/>
      </w:pPr>
      <w:r>
        <w:rPr>
          <w:b/>
          <w:bCs/>
        </w:rPr>
        <w:t xml:space="preserve">Sanction : </w:t>
      </w:r>
      <w:r>
        <w:t xml:space="preserve">Toute violation de la confidentialité est passible de 2 ans d'emprisonnement et 30 000 € d'amende.</w:t>
      </w:r>
    </w:p>
    <w:p>
      <w:pPr>
        <w:pStyle w:val="Heading2"/>
      </w:pPr>
      <w:r>
        <w:t xml:space="preserve">10.2 Accès aux informations</w:t>
      </w:r>
    </w:p>
    <w:p>
      <w:pPr>
        <w:spacing w:before="120" w:after="120"/>
      </w:pPr>
      <w:r>
        <w:t xml:space="preserve">L'accès aux informations relatives aux signalements est strictement limité aux personnes habilitées :</w:t>
      </w:r>
    </w:p>
    <w:p>
      <w:pPr>
        <w:pStyle w:val="ListParagraph"/>
        <w:numPr>
          <w:ilvl w:val="0"/>
          <w:numId w:val="2"/>
        </w:numPr>
      </w:pPr>
      <w:r>
        <w:t xml:space="preserve">Le Référent Alerte</w:t>
      </w:r>
    </w:p>
    <w:p>
      <w:pPr>
        <w:pStyle w:val="ListParagraph"/>
        <w:numPr>
          <w:ilvl w:val="0"/>
          <w:numId w:val="2"/>
        </w:numPr>
      </w:pPr>
      <w:r>
        <w:t xml:space="preserve">Le Responsable Éthique et Conformité</w:t>
      </w:r>
    </w:p>
    <w:p>
      <w:pPr>
        <w:pStyle w:val="ListParagraph"/>
        <w:numPr>
          <w:ilvl w:val="0"/>
          <w:numId w:val="2"/>
        </w:numPr>
      </w:pPr>
      <w:r>
        <w:t xml:space="preserve">Les personnes strictement nécessaires au traitement de l'alerte</w:t>
      </w:r>
    </w:p>
    <w:p>
      <w:pPr>
        <w:pStyle w:val="ListParagraph"/>
        <w:numPr>
          <w:ilvl w:val="0"/>
          <w:numId w:val="2"/>
        </w:numPr>
      </w:pPr>
      <w:r>
        <w:t xml:space="preserve">L'autorité judiciaire le cas échéant</w:t>
      </w:r>
    </w:p>
    <w:p>
      <w:pPr>
        <w:pStyle w:val="Heading2"/>
      </w:pPr>
      <w:r>
        <w:t xml:space="preserve">10.3 Protection des données personnelles</w:t>
      </w:r>
    </w:p>
    <w:p>
      <w:pPr>
        <w:spacing w:before="120" w:after="120"/>
      </w:pPr>
      <w:r>
        <w:t xml:space="preserve">Le traitement des données personnelles dans le cadre du dispositif d'alerte est effectué conformément au RGPD et à la loi Informatique et Libertés.</w:t>
      </w:r>
    </w:p>
    <w:p>
      <w:pPr>
        <w:spacing w:after="80"/>
      </w:pPr>
      <w:r>
        <w:rPr>
          <w:b/>
          <w:bCs/>
        </w:rPr>
        <w:t xml:space="preserve">Responsable de traitement : </w:t>
      </w:r>
      <w:r>
        <w:t xml:space="preserve">[NOM DE L'ENTREPRISE]</w:t>
      </w:r>
    </w:p>
    <w:p>
      <w:pPr>
        <w:spacing w:after="80"/>
      </w:pPr>
      <w:r>
        <w:rPr>
          <w:b/>
          <w:bCs/>
        </w:rPr>
        <w:t xml:space="preserve">Finalités : </w:t>
      </w:r>
      <w:r>
        <w:t xml:space="preserve">Recueil et traitement des signalements d'alertes</w:t>
      </w:r>
    </w:p>
    <w:p>
      <w:pPr>
        <w:spacing w:after="80"/>
      </w:pPr>
      <w:r>
        <w:rPr>
          <w:b/>
          <w:bCs/>
        </w:rPr>
        <w:t xml:space="preserve">Base légale : </w:t>
      </w:r>
      <w:r>
        <w:t xml:space="preserve">Obligation légale / Intérêt légitime</w:t>
      </w:r>
    </w:p>
    <w:p>
      <w:pPr>
        <w:spacing w:after="80"/>
      </w:pPr>
      <w:r>
        <w:rPr>
          <w:b/>
          <w:bCs/>
        </w:rPr>
        <w:t xml:space="preserve">Destinataires : </w:t>
      </w:r>
      <w:r>
        <w:t xml:space="preserve">Personnes habilitées mentionnées ci-dessus</w:t>
      </w:r>
    </w:p>
    <w:p>
      <w:pPr>
        <w:spacing w:after="80"/>
      </w:pPr>
      <w:r>
        <w:rPr>
          <w:b/>
          <w:bCs/>
        </w:rPr>
        <w:t xml:space="preserve">Durée de conservation : </w:t>
      </w:r>
      <w:r>
        <w:t xml:space="preserve">Les données sont conservées pendant la durée strictement nécessaire au traitement du signalement. Elles sont détruites ou anonymisées dans un délai de 2 mois à compter de la clôture définitive des opérations de vérification (sauf procédure disciplinaire ou judiciaire en cours).</w:t>
      </w:r>
    </w:p>
    <w:p>
      <w:pPr>
        <w:spacing w:after="80"/>
      </w:pPr>
      <w:r>
        <w:rPr>
          <w:b/>
          <w:bCs/>
        </w:rPr>
        <w:t xml:space="preserve">Droits des personnes : </w:t>
      </w:r>
      <w:r>
        <w:t xml:space="preserve">Les personnes concernées disposent d'un droit d'accès, de rectification et d'effacement dans les conditions prévues par la réglementation.</w:t>
      </w:r>
    </w:p>
    <w:p>
      <w:pPr>
        <w:spacing w:after="80"/>
      </w:pPr>
      <w:r>
        <w:rPr>
          <w:b/>
          <w:bCs/>
        </w:rPr>
        <w:t xml:space="preserve">Contact DPO : </w:t>
      </w:r>
      <w:r>
        <w:t xml:space="preserve">[dpo@entreprise.com]</w:t>
      </w:r>
    </w:p>
    <w:p>
      <w:pPr>
        <w:pStyle w:val="Heading1"/>
      </w:pPr>
      <w:r>
        <w:t xml:space="preserve">11. SANCTIONS</w:t>
      </w:r>
    </w:p>
    <w:p>
      <w:pPr>
        <w:pStyle w:val="Heading2"/>
      </w:pPr>
      <w:r>
        <w:t xml:space="preserve">11.1 Sanctions en cas de représailles</w:t>
      </w:r>
    </w:p>
    <w:p>
      <w:pPr>
        <w:spacing w:before="120" w:after="120"/>
      </w:pPr>
      <w:r>
        <w:t xml:space="preserve">Toute personne qui prend des mesures de représailles à l'encontre d'un lanceur d'alerte, d'un facilitateur ou d'une personne protégée s'expose à des sanctions disciplinaires pouvant aller jusqu'au licenciement, sans préjudice des poursuites pénales encourues.</w:t>
      </w:r>
    </w:p>
    <w:p>
      <w:pPr>
        <w:pStyle w:val="Heading2"/>
      </w:pPr>
      <w:r>
        <w:t xml:space="preserve">11.2 Sanctions en cas d'abus</w:t>
      </w:r>
    </w:p>
    <w:p>
      <w:pPr>
        <w:spacing w:before="120" w:after="120"/>
      </w:pPr>
      <w:r>
        <w:t xml:space="preserve">L'utilisation abusive du dispositif d'alerte peut donner lieu à des sanctions disciplinaires et/ou des poursuites judiciaires. Constituent notamment un abus :</w:t>
      </w:r>
    </w:p>
    <w:p>
      <w:pPr>
        <w:pStyle w:val="ListParagraph"/>
        <w:numPr>
          <w:ilvl w:val="0"/>
          <w:numId w:val="2"/>
        </w:numPr>
      </w:pPr>
      <w:r>
        <w:t xml:space="preserve">Le signalement de mauvaise foi de faits que l'on sait inexacts</w:t>
      </w:r>
    </w:p>
    <w:p>
      <w:pPr>
        <w:pStyle w:val="ListParagraph"/>
        <w:numPr>
          <w:ilvl w:val="0"/>
          <w:numId w:val="2"/>
        </w:numPr>
      </w:pPr>
      <w:r>
        <w:t xml:space="preserve">La dénonciation calomnieuse</w:t>
      </w:r>
    </w:p>
    <w:p>
      <w:pPr>
        <w:pStyle w:val="ListParagraph"/>
        <w:numPr>
          <w:ilvl w:val="0"/>
          <w:numId w:val="2"/>
        </w:numPr>
      </w:pPr>
      <w:r>
        <w:t xml:space="preserve">L'utilisation du dispositif à des fins personnelles ou malveillantes</w:t>
      </w:r>
    </w:p>
    <w:p>
      <w:pPr>
        <w:spacing w:before="120" w:after="120"/>
      </w:pPr>
      <w:r>
        <w:rPr>
          <w:b/>
          <w:bCs/>
        </w:rPr>
        <w:t xml:space="preserve">Sanctions pénales : </w:t>
      </w:r>
      <w:r>
        <w:t xml:space="preserve">La dénonciation calomnieuse est punie de 5 ans d'emprisonnement et 45 000 € d'amende.</w:t>
      </w:r>
    </w:p>
    <w:p>
      <w:pPr>
        <w:pStyle w:val="Heading2"/>
      </w:pPr>
      <w:r>
        <w:t xml:space="preserve">11.3 Sanctions en cas d'obstruction</w:t>
      </w:r>
    </w:p>
    <w:p>
      <w:pPr>
        <w:spacing w:before="120" w:after="120"/>
      </w:pPr>
      <w:r>
        <w:t xml:space="preserve">Le fait de faire obstacle à la transmission d'un signalement est puni d'1 an d'emprisonnement et de 15 000 € d'amende.</w:t>
      </w:r>
    </w:p>
    <w:p>
      <w:pPr>
        <w:pStyle w:val="Heading1"/>
      </w:pPr>
      <w:r>
        <w:t xml:space="preserve">12. INFORMATION ET FORMATION</w:t>
      </w:r>
    </w:p>
    <w:p>
      <w:pPr>
        <w:pStyle w:val="Heading2"/>
      </w:pPr>
      <w:r>
        <w:t xml:space="preserve">12.1 Diffusion de la politique</w:t>
      </w:r>
    </w:p>
    <w:p>
      <w:pPr>
        <w:spacing w:before="120" w:after="120"/>
      </w:pPr>
      <w:r>
        <w:t xml:space="preserve">La présente politique est diffusée :</w:t>
      </w:r>
    </w:p>
    <w:p>
      <w:pPr>
        <w:pStyle w:val="ListParagraph"/>
        <w:numPr>
          <w:ilvl w:val="0"/>
          <w:numId w:val="2"/>
        </w:numPr>
      </w:pPr>
      <w:r>
        <w:t xml:space="preserve">Par affichage dans les locaux de l'Entreprise</w:t>
      </w:r>
    </w:p>
    <w:p>
      <w:pPr>
        <w:pStyle w:val="ListParagraph"/>
        <w:numPr>
          <w:ilvl w:val="0"/>
          <w:numId w:val="2"/>
        </w:numPr>
      </w:pPr>
      <w:r>
        <w:t xml:space="preserve">Sur l'intranet de l'Entreprise</w:t>
      </w:r>
    </w:p>
    <w:p>
      <w:pPr>
        <w:pStyle w:val="ListParagraph"/>
        <w:numPr>
          <w:ilvl w:val="0"/>
          <w:numId w:val="2"/>
        </w:numPr>
      </w:pPr>
      <w:r>
        <w:t xml:space="preserve">Sur le site internet de l'Entreprise</w:t>
      </w:r>
    </w:p>
    <w:p>
      <w:pPr>
        <w:pStyle w:val="ListParagraph"/>
        <w:numPr>
          <w:ilvl w:val="0"/>
          <w:numId w:val="2"/>
        </w:numPr>
      </w:pPr>
      <w:r>
        <w:t xml:space="preserve">Dans le livret d'accueil des nouveaux collaborateurs</w:t>
      </w:r>
    </w:p>
    <w:p>
      <w:pPr>
        <w:pStyle w:val="ListParagraph"/>
        <w:numPr>
          <w:ilvl w:val="0"/>
          <w:numId w:val="2"/>
        </w:numPr>
      </w:pPr>
      <w:r>
        <w:t xml:space="preserve">Aux parties prenantes externes concernées</w:t>
      </w:r>
    </w:p>
    <w:p>
      <w:pPr>
        <w:pStyle w:val="Heading2"/>
      </w:pPr>
      <w:r>
        <w:t xml:space="preserve">12.2 Formation</w:t>
      </w:r>
    </w:p>
    <w:p>
      <w:pPr>
        <w:spacing w:before="120" w:after="120"/>
      </w:pPr>
      <w:r>
        <w:t xml:space="preserve">L'Entreprise dispense des formations sur le dispositif d'alerte :</w:t>
      </w:r>
    </w:p>
    <w:p>
      <w:pPr>
        <w:pStyle w:val="ListParagraph"/>
        <w:numPr>
          <w:ilvl w:val="0"/>
          <w:numId w:val="2"/>
        </w:numPr>
      </w:pPr>
      <w:r>
        <w:t xml:space="preserve">Formation initiale pour tous les nouveaux collaborateurs</w:t>
      </w:r>
    </w:p>
    <w:p>
      <w:pPr>
        <w:pStyle w:val="ListParagraph"/>
        <w:numPr>
          <w:ilvl w:val="0"/>
          <w:numId w:val="2"/>
        </w:numPr>
      </w:pPr>
      <w:r>
        <w:t xml:space="preserve">Formation approfondie pour les personnes en charge du recueil et du traitement des alertes</w:t>
      </w:r>
    </w:p>
    <w:p>
      <w:pPr>
        <w:pStyle w:val="ListParagraph"/>
        <w:numPr>
          <w:ilvl w:val="0"/>
          <w:numId w:val="2"/>
        </w:numPr>
      </w:pPr>
      <w:r>
        <w:t xml:space="preserve">Sensibilisation régulière de l'ensemble des collaborateurs</w:t>
      </w:r>
    </w:p>
    <w:p>
      <w:pPr>
        <w:pStyle w:val="Heading1"/>
      </w:pPr>
      <w:r>
        <w:t xml:space="preserve">13. SUIVI ET RÉVISION DE LA POLITIQUE</w:t>
      </w:r>
    </w:p>
    <w:p>
      <w:pPr>
        <w:pStyle w:val="Heading2"/>
      </w:pPr>
      <w:r>
        <w:t xml:space="preserve">13.1 Reporting</w:t>
      </w:r>
    </w:p>
    <w:p>
      <w:pPr>
        <w:spacing w:before="120" w:after="120"/>
      </w:pPr>
      <w:r>
        <w:t xml:space="preserve">Un reporting périodique est réalisé et présenté au Comité d'Éthique / Comité d'Audit comprenant :</w:t>
      </w:r>
    </w:p>
    <w:p>
      <w:pPr>
        <w:pStyle w:val="ListParagraph"/>
        <w:numPr>
          <w:ilvl w:val="0"/>
          <w:numId w:val="2"/>
        </w:numPr>
      </w:pPr>
      <w:r>
        <w:t xml:space="preserve">Le nombre de signalements reçus</w:t>
      </w:r>
    </w:p>
    <w:p>
      <w:pPr>
        <w:pStyle w:val="ListParagraph"/>
        <w:numPr>
          <w:ilvl w:val="0"/>
          <w:numId w:val="2"/>
        </w:numPr>
      </w:pPr>
      <w:r>
        <w:t xml:space="preserve">La nature des signalements</w:t>
      </w:r>
    </w:p>
    <w:p>
      <w:pPr>
        <w:pStyle w:val="ListParagraph"/>
        <w:numPr>
          <w:ilvl w:val="0"/>
          <w:numId w:val="2"/>
        </w:numPr>
      </w:pPr>
      <w:r>
        <w:t xml:space="preserve">Les délais de traitement</w:t>
      </w:r>
    </w:p>
    <w:p>
      <w:pPr>
        <w:pStyle w:val="ListParagraph"/>
        <w:numPr>
          <w:ilvl w:val="0"/>
          <w:numId w:val="2"/>
        </w:numPr>
      </w:pPr>
      <w:r>
        <w:t xml:space="preserve">Les suites données</w:t>
      </w:r>
    </w:p>
    <w:p>
      <w:pPr>
        <w:spacing w:before="120" w:after="120"/>
      </w:pPr>
      <w:r>
        <w:t xml:space="preserve">Ce reporting est établi de manière à garantir l'anonymat des lanceurs d'alerte et des personnes visées.</w:t>
      </w:r>
    </w:p>
    <w:p>
      <w:pPr>
        <w:pStyle w:val="Heading2"/>
      </w:pPr>
      <w:r>
        <w:t xml:space="preserve">13.2 Révision</w:t>
      </w:r>
    </w:p>
    <w:p>
      <w:pPr>
        <w:spacing w:before="120" w:after="120"/>
      </w:pPr>
      <w:r>
        <w:t xml:space="preserve">La présente politique fait l'objet d'une révision régulière, a minima tous les ans, pour s'assurer de sa conformité avec l'évolution du cadre légal et réglementaire et de son adéquation aux besoins de l'Entreprise.</w:t>
      </w:r>
    </w:p>
    <w:p>
      <w:r>
        <w:br w:type="page"/>
      </w:r>
    </w:p>
    <w:p>
      <w:pPr>
        <w:pStyle w:val="Heading1"/>
      </w:pPr>
      <w:r>
        <w:t xml:space="preserve">ANNEXE 1 : COORDONNÉES DES CANAUX DE SIGNALEMENT</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Pr>
          <w:p>
            <w:r>
              <w:rPr>
                <w:b/>
                <w:bCs/>
                <w:color w:val="FFFFFF"/>
              </w:rPr>
              <w:t xml:space="preserve">Canal</w:t>
            </w:r>
          </w:p>
        </w:tc>
        <w:tc>
          <w:tcPr>
            <w:tcW w:type="dxa" w:w="5860"/>
            <w:tcBorders>
              <w:top w:val="single" w:color="CCCCCC" w:sz="1"/>
              <w:left w:val="single" w:color="CCCCCC" w:sz="1"/>
              <w:bottom w:val="single" w:color="CCCCCC" w:sz="1"/>
              <w:right w:val="single" w:color="CCCCCC" w:sz="1"/>
            </w:tcBorders>
            <w:shd w:fill="1F4E79" w:val="clear"/>
          </w:tcPr>
          <w:p>
            <w:r>
              <w:rPr>
                <w:b/>
                <w:bCs/>
                <w:color w:val="FFFFFF"/>
              </w:rPr>
              <w:t xml:space="preserve">Coordonnées</w:t>
            </w:r>
          </w:p>
        </w:tc>
      </w:tr>
      <w:tr>
        <w:tc>
          <w:tcPr>
            <w:tcW w:type="dxa" w:w="3500"/>
            <w:tcBorders>
              <w:top w:val="single" w:color="CCCCCC" w:sz="1"/>
              <w:left w:val="single" w:color="CCCCCC" w:sz="1"/>
              <w:bottom w:val="single" w:color="CCCCCC" w:sz="1"/>
              <w:right w:val="single" w:color="CCCCCC" w:sz="1"/>
            </w:tcBorders>
          </w:tcPr>
          <w:p>
            <w:r>
              <w:rPr>
                <w:b/>
                <w:bCs/>
              </w:rPr>
              <w:t xml:space="preserve">Plateforme en ligne</w:t>
            </w:r>
          </w:p>
        </w:tc>
        <w:tc>
          <w:tcPr>
            <w:tcW w:type="dxa" w:w="5860"/>
            <w:tcBorders>
              <w:top w:val="single" w:color="CCCCCC" w:sz="1"/>
              <w:left w:val="single" w:color="CCCCCC" w:sz="1"/>
              <w:bottom w:val="single" w:color="CCCCCC" w:sz="1"/>
              <w:right w:val="single" w:color="CCCCCC" w:sz="1"/>
            </w:tcBorders>
          </w:tcPr>
          <w:p>
            <w:r>
              <w:t xml:space="preserve">[URL à compléter]</w:t>
            </w:r>
          </w:p>
        </w:tc>
      </w:tr>
      <w:tr>
        <w:tc>
          <w:tcPr>
            <w:tcW w:type="dxa" w:w="3500"/>
            <w:tcBorders>
              <w:top w:val="single" w:color="CCCCCC" w:sz="1"/>
              <w:left w:val="single" w:color="CCCCCC" w:sz="1"/>
              <w:bottom w:val="single" w:color="CCCCCC" w:sz="1"/>
              <w:right w:val="single" w:color="CCCCCC" w:sz="1"/>
            </w:tcBorders>
          </w:tcPr>
          <w:p>
            <w:r>
              <w:rPr>
                <w:b/>
                <w:bCs/>
              </w:rPr>
              <w:t xml:space="preserve">E-mail dédié</w:t>
            </w:r>
          </w:p>
        </w:tc>
        <w:tc>
          <w:tcPr>
            <w:tcW w:type="dxa" w:w="5860"/>
            <w:tcBorders>
              <w:top w:val="single" w:color="CCCCCC" w:sz="1"/>
              <w:left w:val="single" w:color="CCCCCC" w:sz="1"/>
              <w:bottom w:val="single" w:color="CCCCCC" w:sz="1"/>
              <w:right w:val="single" w:color="CCCCCC" w:sz="1"/>
            </w:tcBorders>
          </w:tcPr>
          <w:p>
            <w:r>
              <w:t xml:space="preserve">[alerte@entreprise.com]</w:t>
            </w:r>
          </w:p>
        </w:tc>
      </w:tr>
      <w:tr>
        <w:tc>
          <w:tcPr>
            <w:tcW w:type="dxa" w:w="3500"/>
            <w:tcBorders>
              <w:top w:val="single" w:color="CCCCCC" w:sz="1"/>
              <w:left w:val="single" w:color="CCCCCC" w:sz="1"/>
              <w:bottom w:val="single" w:color="CCCCCC" w:sz="1"/>
              <w:right w:val="single" w:color="CCCCCC" w:sz="1"/>
            </w:tcBorders>
          </w:tcPr>
          <w:p>
            <w:r>
              <w:rPr>
                <w:b/>
                <w:bCs/>
              </w:rPr>
              <w:t xml:space="preserve">Téléphone</w:t>
            </w:r>
          </w:p>
        </w:tc>
        <w:tc>
          <w:tcPr>
            <w:tcW w:type="dxa" w:w="5860"/>
            <w:tcBorders>
              <w:top w:val="single" w:color="CCCCCC" w:sz="1"/>
              <w:left w:val="single" w:color="CCCCCC" w:sz="1"/>
              <w:bottom w:val="single" w:color="CCCCCC" w:sz="1"/>
              <w:right w:val="single" w:color="CCCCCC" w:sz="1"/>
            </w:tcBorders>
          </w:tcPr>
          <w:p>
            <w:r>
              <w:t xml:space="preserve">[Numéro à compléter]</w:t>
            </w:r>
          </w:p>
          <w:p>
            <w:r>
              <w:t xml:space="preserve">Disponible : [horaires]</w:t>
            </w:r>
          </w:p>
          <w:p>
            <w:r>
              <w:t xml:space="preserve">Langues : [français, anglais, etc.]</w:t>
            </w:r>
          </w:p>
        </w:tc>
      </w:tr>
      <w:tr>
        <w:tc>
          <w:tcPr>
            <w:tcW w:type="dxa" w:w="3500"/>
            <w:tcBorders>
              <w:top w:val="single" w:color="CCCCCC" w:sz="1"/>
              <w:left w:val="single" w:color="CCCCCC" w:sz="1"/>
              <w:bottom w:val="single" w:color="CCCCCC" w:sz="1"/>
              <w:right w:val="single" w:color="CCCCCC" w:sz="1"/>
            </w:tcBorders>
          </w:tcPr>
          <w:p>
            <w:r>
              <w:rPr>
                <w:b/>
                <w:bCs/>
              </w:rPr>
              <w:t xml:space="preserve">Courrier postal</w:t>
            </w:r>
          </w:p>
        </w:tc>
        <w:tc>
          <w:tcPr>
            <w:tcW w:type="dxa" w:w="5860"/>
            <w:tcBorders>
              <w:top w:val="single" w:color="CCCCCC" w:sz="1"/>
              <w:left w:val="single" w:color="CCCCCC" w:sz="1"/>
              <w:bottom w:val="single" w:color="CCCCCC" w:sz="1"/>
              <w:right w:val="single" w:color="CCCCCC" w:sz="1"/>
            </w:tcBorders>
          </w:tcPr>
          <w:p>
            <w:r>
              <w:t xml:space="preserve">Référent Alerte Éthique</w:t>
            </w:r>
          </w:p>
          <w:p>
            <w:r>
              <w:t xml:space="preserve">[NOM DE L'ENTREPRISE]</w:t>
            </w:r>
          </w:p>
          <w:p>
            <w:r>
              <w:t xml:space="preserve">[Adresse]</w:t>
            </w:r>
          </w:p>
          <w:p>
            <w:r>
              <w:rPr>
                <w:i/>
                <w:iCs/>
              </w:rPr>
              <w:t xml:space="preserve">Mention « CONFIDENTIEL – ALERTE »</w:t>
            </w:r>
          </w:p>
        </w:tc>
      </w:tr>
      <w:tr>
        <w:tc>
          <w:tcPr>
            <w:tcW w:type="dxa" w:w="3500"/>
            <w:tcBorders>
              <w:top w:val="single" w:color="CCCCCC" w:sz="1"/>
              <w:left w:val="single" w:color="CCCCCC" w:sz="1"/>
              <w:bottom w:val="single" w:color="CCCCCC" w:sz="1"/>
              <w:right w:val="single" w:color="CCCCCC" w:sz="1"/>
            </w:tcBorders>
          </w:tcPr>
          <w:p>
            <w:r>
              <w:rPr>
                <w:b/>
                <w:bCs/>
              </w:rPr>
              <w:t xml:space="preserve">Référent Alerte</w:t>
            </w:r>
          </w:p>
        </w:tc>
        <w:tc>
          <w:tcPr>
            <w:tcW w:type="dxa" w:w="5860"/>
            <w:tcBorders>
              <w:top w:val="single" w:color="CCCCCC" w:sz="1"/>
              <w:left w:val="single" w:color="CCCCCC" w:sz="1"/>
              <w:bottom w:val="single" w:color="CCCCCC" w:sz="1"/>
              <w:right w:val="single" w:color="CCCCCC" w:sz="1"/>
            </w:tcBorders>
          </w:tcPr>
          <w:p>
            <w:r>
              <w:t xml:space="preserve">[Nom et fonction]</w:t>
            </w:r>
          </w:p>
          <w:p>
            <w:r>
              <w:t xml:space="preserve">[Contact]</w:t>
            </w:r>
          </w:p>
        </w:tc>
      </w:tr>
      <w:tr>
        <w:tc>
          <w:tcPr>
            <w:tcW w:type="dxa" w:w="3500"/>
            <w:tcBorders>
              <w:top w:val="single" w:color="CCCCCC" w:sz="1"/>
              <w:left w:val="single" w:color="CCCCCC" w:sz="1"/>
              <w:bottom w:val="single" w:color="CCCCCC" w:sz="1"/>
              <w:right w:val="single" w:color="CCCCCC" w:sz="1"/>
            </w:tcBorders>
          </w:tcPr>
          <w:p>
            <w:r>
              <w:rPr>
                <w:b/>
                <w:bCs/>
              </w:rPr>
              <w:t xml:space="preserve">Délégué à la Protection des Données</w:t>
            </w:r>
          </w:p>
        </w:tc>
        <w:tc>
          <w:tcPr>
            <w:tcW w:type="dxa" w:w="5860"/>
            <w:tcBorders>
              <w:top w:val="single" w:color="CCCCCC" w:sz="1"/>
              <w:left w:val="single" w:color="CCCCCC" w:sz="1"/>
              <w:bottom w:val="single" w:color="CCCCCC" w:sz="1"/>
              <w:right w:val="single" w:color="CCCCCC" w:sz="1"/>
            </w:tcBorders>
          </w:tcPr>
          <w:p>
            <w:r>
              <w:t xml:space="preserve">[dpo@entreprise.com]</w:t>
            </w:r>
          </w:p>
        </w:tc>
      </w:tr>
    </w:tbl>
    <w:p>
      <w:r>
        <w:br w:type="page"/>
      </w:r>
    </w:p>
    <w:p>
      <w:pPr>
        <w:pStyle w:val="Heading1"/>
      </w:pPr>
      <w:r>
        <w:t xml:space="preserve">ANNEXE 2 : FORMULAIRE DE SIGNALEMENT</w:t>
      </w:r>
    </w:p>
    <w:p>
      <w:pPr>
        <w:spacing w:before="200" w:after="120"/>
        <w:jc w:val="center"/>
      </w:pPr>
      <w:r>
        <w:rPr>
          <w:i/>
          <w:iCs/>
          <w:color w:val="808080"/>
        </w:rPr>
        <w:t xml:space="preserve">[Ce formulaire est disponible sur la plateforme de signalement en ligne]</w:t>
      </w:r>
    </w:p>
    <w:p>
      <w:pPr>
        <w:spacing w:before="200"/>
      </w:pPr>
      <w:r>
        <w:rPr>
          <w:b/>
          <w:bCs/>
          <w:color w:val="1F4E79"/>
        </w:rPr>
        <w:t xml:space="preserve">INFORMATIONS SUR L'AUTEUR DU SIGNALEMENT</w:t>
      </w:r>
    </w:p>
    <w:p>
      <w:pPr>
        <w:spacing w:before="80"/>
      </w:pPr>
      <w:r>
        <w:t xml:space="preserve">☐ Je souhaite rester anonyme</w:t>
      </w:r>
    </w:p>
    <w:p>
      <w:pPr>
        <w:spacing w:before="80"/>
      </w:pPr>
      <w:r>
        <w:t xml:space="preserve">Nom : _______________________________________________</w:t>
      </w:r>
    </w:p>
    <w:p>
      <w:r>
        <w:t xml:space="preserve">Prénom : _______________________________________________</w:t>
      </w:r>
    </w:p>
    <w:p>
      <w:r>
        <w:t xml:space="preserve">Fonction : _______________________________________________</w:t>
      </w:r>
    </w:p>
    <w:p>
      <w:r>
        <w:t xml:space="preserve">Entité/Service : _______________________________________________</w:t>
      </w:r>
    </w:p>
    <w:p>
      <w:r>
        <w:t xml:space="preserve">E-mail : _______________________________________________</w:t>
      </w:r>
    </w:p>
    <w:p>
      <w:r>
        <w:t xml:space="preserve">Téléphone : _______________________________________________</w:t>
      </w:r>
    </w:p>
    <w:p>
      <w:r>
        <w:t xml:space="preserve">Lien avec l'Entreprise : ☐ Salarié ☐ Ancien salarié ☐ Prestataire ☐ Fournisseur ☐ Autre : ______</w:t>
      </w:r>
    </w:p>
    <w:p>
      <w:pPr>
        <w:spacing w:before="200"/>
      </w:pPr>
      <w:r>
        <w:rPr>
          <w:b/>
          <w:bCs/>
          <w:color w:val="1F4E79"/>
        </w:rPr>
        <w:t xml:space="preserve">DESCRIPTION DES FAITS SIGNALÉS</w:t>
      </w:r>
    </w:p>
    <w:p>
      <w:pPr>
        <w:spacing w:before="80"/>
      </w:pPr>
      <w:r>
        <w:t xml:space="preserve">Nature des faits (cochez la ou les cases correspondantes) :</w:t>
      </w:r>
    </w:p>
    <w:p>
      <w:r>
        <w:t xml:space="preserve">☐ Corruption / Trafic d'influence</w:t>
      </w:r>
    </w:p>
    <w:p>
      <w:r>
        <w:t xml:space="preserve">☐ Conflit d'intérêts</w:t>
      </w:r>
    </w:p>
    <w:p>
      <w:r>
        <w:t xml:space="preserve">☐ Fraude / Détournement</w:t>
      </w:r>
    </w:p>
    <w:p>
      <w:r>
        <w:t xml:space="preserve">☐ Harcèlement / Discrimination</w:t>
      </w:r>
    </w:p>
    <w:p>
      <w:r>
        <w:t xml:space="preserve">☐ Atteinte à l'environnement</w:t>
      </w:r>
    </w:p>
    <w:p>
      <w:r>
        <w:t xml:space="preserve">☐ Atteinte à la santé/sécurité</w:t>
      </w:r>
    </w:p>
    <w:p>
      <w:r>
        <w:t xml:space="preserve">☐ Violation des données personnelles</w:t>
      </w:r>
    </w:p>
    <w:p>
      <w:r>
        <w:t xml:space="preserve">☐ Autre : _______________________________________________</w:t>
      </w:r>
    </w:p>
    <w:p>
      <w:pPr>
        <w:spacing w:before="120"/>
      </w:pPr>
      <w:r>
        <w:t xml:space="preserve">Date des faits : _______________________________________________</w:t>
      </w:r>
    </w:p>
    <w:p>
      <w:r>
        <w:t xml:space="preserve">Lieu des faits : _______________________________________________</w:t>
      </w:r>
    </w:p>
    <w:p>
      <w:r>
        <w:t xml:space="preserve">Personnes impliquées (noms, fonctions) : _______________________________________________</w:t>
      </w:r>
    </w:p>
    <w:p>
      <w:r>
        <w:t xml:space="preserve">_______________________________________________</w:t>
      </w:r>
    </w:p>
    <w:p>
      <w:pPr>
        <w:spacing w:before="120"/>
      </w:pPr>
      <w:r>
        <w:t xml:space="preserve">Description détaillée des faits :</w:t>
      </w:r>
    </w:p>
    <w:p>
      <w:r>
        <w:t xml:space="preserve">_______________________________________________</w:t>
      </w:r>
    </w:p>
    <w:p>
      <w:r>
        <w:t xml:space="preserve">_______________________________________________</w:t>
      </w:r>
    </w:p>
    <w:p>
      <w:r>
        <w:t xml:space="preserve">_______________________________________________</w:t>
      </w:r>
    </w:p>
    <w:p>
      <w:r>
        <w:t xml:space="preserve">_______________________________________________</w:t>
      </w:r>
    </w:p>
    <w:p>
      <w:pPr>
        <w:spacing w:before="120"/>
      </w:pPr>
      <w:r>
        <w:t xml:space="preserve">Témoins éventuels : _______________________________________________</w:t>
      </w:r>
    </w:p>
    <w:p>
      <w:r>
        <w:t xml:space="preserve">Pièces jointes : ☐ Oui ☐ Non  Si oui, préciser : _______________________</w:t>
      </w:r>
    </w:p>
    <w:p>
      <w:pPr>
        <w:spacing w:before="200"/>
      </w:pPr>
      <w:r>
        <w:rPr>
          <w:b/>
          <w:bCs/>
          <w:color w:val="1F4E79"/>
        </w:rPr>
        <w:t xml:space="preserve">DÉCLARATION</w:t>
      </w:r>
    </w:p>
    <w:p>
      <w:pPr>
        <w:spacing w:before="80" w:after="120"/>
      </w:pPr>
      <w:r>
        <w:t xml:space="preserve">☐ Je certifie que les informations communiquées sont exactes à ma connaissance et que ce signalement est effectué de bonne foi, sans contrepartie financière directe.</w:t>
      </w:r>
    </w:p>
    <w:p>
      <w:r>
        <w:t xml:space="preserve">☐ J'ai pris connaissance de la politique de recueil et de traitement des alertes.</w:t>
      </w:r>
    </w:p>
    <w:p>
      <w:pPr>
        <w:spacing w:before="200"/>
      </w:pPr>
      <w:r>
        <w:t xml:space="preserve">Date : _______________________________________________</w:t>
      </w:r>
    </w:p>
    <w:p>
      <w:r>
        <w:t xml:space="preserve">Signature : _______________________________________________</w:t>
      </w:r>
    </w:p>
    <w:p>
      <w:r>
        <w:br w:type="page"/>
      </w:r>
    </w:p>
    <w:p>
      <w:pPr>
        <w:pStyle w:val="Heading1"/>
      </w:pPr>
      <w:r>
        <w:t xml:space="preserve">HISTORIQUE DES VERSIONS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c>
          <w:tcPr>
            <w:tcW w:type="dxa" w:w="1500"/>
            <w:tcBorders>
              <w:top w:val="single" w:color="CCCCCC" w:sz="1"/>
              <w:left w:val="single" w:color="CCCCCC" w:sz="1"/>
              <w:bottom w:val="single" w:color="CCCCCC" w:sz="1"/>
              <w:right w:val="single" w:color="CCCCCC" w:sz="1"/>
            </w:tcBorders>
            <w:shd w:fill="1F4E79" w:val="clear"/>
          </w:tcPr>
          <w:p>
            <w:r>
              <w:rPr>
                <w:b/>
                <w:bCs/>
                <w:color w:val="FFFFFF"/>
              </w:rPr>
              <w:t xml:space="preserve">Version</w:t>
            </w:r>
          </w:p>
        </w:tc>
        <w:tc>
          <w:tcPr>
            <w:tcW w:type="dxa" w:w="2000"/>
            <w:tcBorders>
              <w:top w:val="single" w:color="CCCCCC" w:sz="1"/>
              <w:left w:val="single" w:color="CCCCCC" w:sz="1"/>
              <w:bottom w:val="single" w:color="CCCCCC" w:sz="1"/>
              <w:right w:val="single" w:color="CCCCCC" w:sz="1"/>
            </w:tcBorders>
            <w:shd w:fill="1F4E79" w:val="clear"/>
          </w:tcPr>
          <w:p>
            <w:r>
              <w:rPr>
                <w:b/>
                <w:bCs/>
                <w:color w:val="FFFFFF"/>
              </w:rPr>
              <w:t xml:space="preserve">Date</w:t>
            </w:r>
          </w:p>
        </w:tc>
        <w:tc>
          <w:tcPr>
            <w:tcW w:type="dxa" w:w="3000"/>
            <w:tcBorders>
              <w:top w:val="single" w:color="CCCCCC" w:sz="1"/>
              <w:left w:val="single" w:color="CCCCCC" w:sz="1"/>
              <w:bottom w:val="single" w:color="CCCCCC" w:sz="1"/>
              <w:right w:val="single" w:color="CCCCCC" w:sz="1"/>
            </w:tcBorders>
            <w:shd w:fill="1F4E79" w:val="clear"/>
          </w:tcPr>
          <w:p>
            <w:r>
              <w:rPr>
                <w:b/>
                <w:bCs/>
                <w:color w:val="FFFFFF"/>
              </w:rPr>
              <w:t xml:space="preserve">Modifications</w:t>
            </w:r>
          </w:p>
        </w:tc>
        <w:tc>
          <w:tcPr>
            <w:tcW w:type="dxa" w:w="2860"/>
            <w:tcBorders>
              <w:top w:val="single" w:color="CCCCCC" w:sz="1"/>
              <w:left w:val="single" w:color="CCCCCC" w:sz="1"/>
              <w:bottom w:val="single" w:color="CCCCCC" w:sz="1"/>
              <w:right w:val="single" w:color="CCCCCC" w:sz="1"/>
            </w:tcBorders>
            <w:shd w:fill="1F4E79" w:val="clear"/>
          </w:tcPr>
          <w:p>
            <w:r>
              <w:rPr>
                <w:b/>
                <w:bCs/>
                <w:color w:val="FFFFFF"/>
              </w:rPr>
              <w:t xml:space="preserve">Auteur</w:t>
            </w:r>
          </w:p>
        </w:tc>
      </w:tr>
      <w:tr>
        <w:tc>
          <w:tcPr>
            <w:tcW w:type="dxa" w:w="1500"/>
            <w:tcBorders>
              <w:top w:val="single" w:color="CCCCCC" w:sz="1"/>
              <w:left w:val="single" w:color="CCCCCC" w:sz="1"/>
              <w:bottom w:val="single" w:color="CCCCCC" w:sz="1"/>
              <w:right w:val="single" w:color="CCCCCC" w:sz="1"/>
            </w:tcBorders>
          </w:tcPr>
          <w:p>
            <w:r>
              <w:t xml:space="preserve">1.0</w:t>
            </w:r>
          </w:p>
        </w:tc>
        <w:tc>
          <w:tcPr>
            <w:tcW w:type="dxa" w:w="2000"/>
            <w:tcBorders>
              <w:top w:val="single" w:color="CCCCCC" w:sz="1"/>
              <w:left w:val="single" w:color="CCCCCC" w:sz="1"/>
              <w:bottom w:val="single" w:color="CCCCCC" w:sz="1"/>
              <w:right w:val="single" w:color="CCCCCC" w:sz="1"/>
            </w:tcBorders>
          </w:tcPr>
          <w:p>
            <w:r>
              <w:t xml:space="preserve">[JJ/MM/AAAA]</w:t>
            </w:r>
          </w:p>
        </w:tc>
        <w:tc>
          <w:tcPr>
            <w:tcW w:type="dxa" w:w="3000"/>
            <w:tcBorders>
              <w:top w:val="single" w:color="CCCCCC" w:sz="1"/>
              <w:left w:val="single" w:color="CCCCCC" w:sz="1"/>
              <w:bottom w:val="single" w:color="CCCCCC" w:sz="1"/>
              <w:right w:val="single" w:color="CCCCCC" w:sz="1"/>
            </w:tcBorders>
          </w:tcPr>
          <w:p>
            <w:r>
              <w:t xml:space="preserve">Création initiale</w:t>
            </w:r>
          </w:p>
        </w:tc>
        <w:tc>
          <w:tcPr>
            <w:tcW w:type="dxa" w:w="2860"/>
            <w:tcBorders>
              <w:top w:val="single" w:color="CCCCCC" w:sz="1"/>
              <w:left w:val="single" w:color="CCCCCC" w:sz="1"/>
              <w:bottom w:val="single" w:color="CCCCCC" w:sz="1"/>
              <w:right w:val="single" w:color="CCCCCC" w:sz="1"/>
            </w:tcBorders>
          </w:tcPr>
          <w:p>
            <w:r>
              <w:t xml:space="preserve">[À compléter]</w:t>
            </w:r>
          </w:p>
        </w:tc>
      </w:tr>
      <w:tr>
        <w:tc>
          <w:tcPr>
            <w:tcW w:type="dxa" w:w="1500"/>
            <w:tcBorders>
              <w:top w:val="single" w:color="CCCCCC" w:sz="1"/>
              <w:left w:val="single" w:color="CCCCCC" w:sz="1"/>
              <w:bottom w:val="single" w:color="CCCCCC" w:sz="1"/>
              <w:right w:val="single" w:color="CCCCCC" w:sz="1"/>
            </w:tcBorders>
          </w:tcPr>
          <w:p>
            <w:r>
              <w:t xml:space="preserve"/>
            </w:r>
          </w:p>
        </w:tc>
        <w:tc>
          <w:tcPr>
            <w:tcW w:type="dxa" w:w="2000"/>
            <w:tcBorders>
              <w:top w:val="single" w:color="CCCCCC" w:sz="1"/>
              <w:left w:val="single" w:color="CCCCCC" w:sz="1"/>
              <w:bottom w:val="single" w:color="CCCCCC" w:sz="1"/>
              <w:right w:val="single" w:color="CCCCCC" w:sz="1"/>
            </w:tcBorders>
          </w:tcPr>
          <w:p>
            <w:r>
              <w:t xml:space="preserve"/>
            </w:r>
          </w:p>
        </w:tc>
        <w:tc>
          <w:tcPr>
            <w:tcW w:type="dxa" w:w="3000"/>
            <w:tcBorders>
              <w:top w:val="single" w:color="CCCCCC" w:sz="1"/>
              <w:left w:val="single" w:color="CCCCCC" w:sz="1"/>
              <w:bottom w:val="single" w:color="CCCCCC" w:sz="1"/>
              <w:right w:val="single" w:color="CCCCCC" w:sz="1"/>
            </w:tcBorders>
          </w:tcPr>
          <w:p>
            <w:r>
              <w:t xml:space="preserve"/>
            </w:r>
          </w:p>
        </w:tc>
        <w:tc>
          <w:tcPr>
            <w:tcW w:type="dxa" w:w="2860"/>
            <w:tcBorders>
              <w:top w:val="single" w:color="CCCCCC" w:sz="1"/>
              <w:left w:val="single" w:color="CCCCCC" w:sz="1"/>
              <w:bottom w:val="single" w:color="CCCCCC" w:sz="1"/>
              <w:right w:val="single" w:color="CCCCCC" w:sz="1"/>
            </w:tcBorders>
          </w:tcPr>
          <w:p>
            <w: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sur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[NOM DE L'ENTREPRISE] – Politique Lanceurs d'Alerte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2025-12-30T16:00:15.156Z</dcterms:created>
  <dcterms:modified xsi:type="dcterms:W3CDTF">2025-12-30T16:00:15.157Z</dcterms:modified>
</cp:coreProperties>
</file>

<file path=docProps/custom.xml><?xml version="1.0" encoding="utf-8"?>
<Properties xmlns="http://schemas.openxmlformats.org/officeDocument/2006/custom-properties" xmlns:vt="http://schemas.openxmlformats.org/officeDocument/2006/docPropsVTypes"/>
</file>