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44C4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审计报告中</w:t>
      </w:r>
      <w:r>
        <w:rPr>
          <w:rFonts w:hint="eastAsia"/>
          <w:b/>
          <w:bCs/>
          <w:lang w:val="en-US" w:eastAsia="zh-CN"/>
        </w:rPr>
        <w:t>表格</w:t>
      </w:r>
      <w:r>
        <w:rPr>
          <w:rFonts w:hint="eastAsia"/>
          <w:b/>
          <w:bCs/>
        </w:rPr>
        <w:t>排版要求</w:t>
      </w:r>
    </w:p>
    <w:p w14:paraId="74106919">
      <w:pPr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b/>
          <w:bCs/>
        </w:rPr>
        <w:t>具体排版标准</w:t>
      </w:r>
      <w:bookmarkStart w:id="0" w:name="_GoBack"/>
      <w:bookmarkEnd w:id="0"/>
    </w:p>
    <w:p w14:paraId="349CD30D">
      <w:pPr>
        <w:rPr>
          <w:b/>
          <w:bCs/>
        </w:rPr>
      </w:pPr>
      <w:r>
        <w:rPr>
          <w:b/>
          <w:bCs/>
        </w:rPr>
        <w:t>1. 字体与字号</w:t>
      </w:r>
    </w:p>
    <w:p w14:paraId="7F597402">
      <w:pPr>
        <w:numPr>
          <w:ilvl w:val="0"/>
          <w:numId w:val="1"/>
        </w:numPr>
      </w:pPr>
      <w:r>
        <w:rPr>
          <w:b/>
          <w:bCs/>
        </w:rPr>
        <w:t>总标题/表格名称</w:t>
      </w:r>
      <w:r>
        <w:t>：</w:t>
      </w:r>
    </w:p>
    <w:p w14:paraId="25C46C36">
      <w:pPr>
        <w:numPr>
          <w:ilvl w:val="1"/>
          <w:numId w:val="1"/>
        </w:numPr>
      </w:pPr>
      <w:r>
        <w:t>字体：</w:t>
      </w:r>
      <w:r>
        <w:rPr>
          <w:b/>
          <w:bCs/>
        </w:rPr>
        <w:t>黑体</w:t>
      </w:r>
      <w:r>
        <w:t> 或 </w:t>
      </w:r>
      <w:r>
        <w:rPr>
          <w:b/>
          <w:bCs/>
        </w:rPr>
        <w:t>微软雅黑</w:t>
      </w:r>
      <w:r>
        <w:t>。</w:t>
      </w:r>
    </w:p>
    <w:p w14:paraId="7B781447">
      <w:pPr>
        <w:numPr>
          <w:ilvl w:val="1"/>
          <w:numId w:val="1"/>
        </w:numPr>
      </w:pPr>
      <w:r>
        <w:t>字号：</w:t>
      </w:r>
      <w:r>
        <w:rPr>
          <w:b/>
          <w:bCs/>
        </w:rPr>
        <w:t>14号</w:t>
      </w:r>
      <w:r>
        <w:t> 或 </w:t>
      </w:r>
      <w:r>
        <w:rPr>
          <w:b/>
          <w:bCs/>
        </w:rPr>
        <w:t>小四</w:t>
      </w:r>
      <w:r>
        <w:t>，可加粗。</w:t>
      </w:r>
    </w:p>
    <w:p w14:paraId="48AEDEA1">
      <w:pPr>
        <w:numPr>
          <w:ilvl w:val="1"/>
          <w:numId w:val="1"/>
        </w:numPr>
      </w:pPr>
      <w:r>
        <w:t>位置：通常合并居中于表格上方。</w:t>
      </w:r>
    </w:p>
    <w:p w14:paraId="779FA39F">
      <w:pPr>
        <w:numPr>
          <w:ilvl w:val="0"/>
          <w:numId w:val="1"/>
        </w:numPr>
      </w:pPr>
      <w:r>
        <w:rPr>
          <w:b/>
          <w:bCs/>
        </w:rPr>
        <w:t>表头（列标题）</w:t>
      </w:r>
      <w:r>
        <w:t>：</w:t>
      </w:r>
    </w:p>
    <w:p w14:paraId="4255027F">
      <w:pPr>
        <w:numPr>
          <w:ilvl w:val="1"/>
          <w:numId w:val="1"/>
        </w:numPr>
      </w:pPr>
      <w:r>
        <w:t>字体：</w:t>
      </w:r>
      <w:r>
        <w:rPr>
          <w:b/>
          <w:bCs/>
        </w:rPr>
        <w:t>宋体</w:t>
      </w:r>
      <w:r>
        <w:t> 或 </w:t>
      </w:r>
      <w:r>
        <w:rPr>
          <w:b/>
          <w:bCs/>
        </w:rPr>
        <w:t>等线</w:t>
      </w:r>
      <w:r>
        <w:t>。</w:t>
      </w:r>
    </w:p>
    <w:p w14:paraId="524DA62A">
      <w:pPr>
        <w:numPr>
          <w:ilvl w:val="1"/>
          <w:numId w:val="1"/>
        </w:numPr>
      </w:pPr>
      <w:r>
        <w:t>字号：</w:t>
      </w:r>
      <w:r>
        <w:rPr>
          <w:b/>
          <w:bCs/>
        </w:rPr>
        <w:t>11号</w:t>
      </w:r>
      <w:r>
        <w:t> 或 </w:t>
      </w:r>
      <w:r>
        <w:rPr>
          <w:b/>
          <w:bCs/>
        </w:rPr>
        <w:t>五号</w:t>
      </w:r>
      <w:r>
        <w:t>，</w:t>
      </w:r>
      <w:r>
        <w:rPr>
          <w:b/>
          <w:bCs/>
        </w:rPr>
        <w:t>加粗</w:t>
      </w:r>
      <w:r>
        <w:t>。</w:t>
      </w:r>
    </w:p>
    <w:p w14:paraId="07EC85E8">
      <w:pPr>
        <w:numPr>
          <w:ilvl w:val="1"/>
          <w:numId w:val="1"/>
        </w:numPr>
      </w:pPr>
      <w:r>
        <w:t>对齐：居中或根据内容左/右对齐（如“项目”左对齐，“金额”右对齐）。</w:t>
      </w:r>
    </w:p>
    <w:p w14:paraId="17D9D74C">
      <w:pPr>
        <w:numPr>
          <w:ilvl w:val="0"/>
          <w:numId w:val="1"/>
        </w:numPr>
      </w:pPr>
      <w:r>
        <w:rPr>
          <w:b/>
          <w:bCs/>
        </w:rPr>
        <w:t>表格正文数据</w:t>
      </w:r>
      <w:r>
        <w:t>：</w:t>
      </w:r>
    </w:p>
    <w:p w14:paraId="1B253310">
      <w:pPr>
        <w:numPr>
          <w:ilvl w:val="1"/>
          <w:numId w:val="1"/>
        </w:numPr>
      </w:pPr>
      <w:r>
        <w:t>字体：</w:t>
      </w:r>
      <w:r>
        <w:rPr>
          <w:b/>
          <w:bCs/>
        </w:rPr>
        <w:t>宋体</w:t>
      </w:r>
      <w:r>
        <w:t>、</w:t>
      </w:r>
      <w:r>
        <w:rPr>
          <w:b/>
          <w:bCs/>
        </w:rPr>
        <w:t>等线</w:t>
      </w:r>
      <w:r>
        <w:t> 或 </w:t>
      </w:r>
      <w:r>
        <w:rPr>
          <w:b/>
          <w:bCs/>
        </w:rPr>
        <w:t>Times New Roman</w:t>
      </w:r>
      <w:r>
        <w:t>（若涉及英文报告）。</w:t>
      </w:r>
    </w:p>
    <w:p w14:paraId="7D24A5FB">
      <w:pPr>
        <w:numPr>
          <w:ilvl w:val="1"/>
          <w:numId w:val="1"/>
        </w:numPr>
      </w:pPr>
      <w:r>
        <w:t>字号：</w:t>
      </w:r>
      <w:r>
        <w:rPr>
          <w:b/>
          <w:bCs/>
        </w:rPr>
        <w:t>10号</w:t>
      </w:r>
      <w:r>
        <w:t> 或 </w:t>
      </w:r>
      <w:r>
        <w:rPr>
          <w:b/>
          <w:bCs/>
        </w:rPr>
        <w:t>五号</w:t>
      </w:r>
      <w:r>
        <w:t>（常用），或 </w:t>
      </w:r>
      <w:r>
        <w:rPr>
          <w:b/>
          <w:bCs/>
        </w:rPr>
        <w:t>11号</w:t>
      </w:r>
      <w:r>
        <w:t>。确保打印后清晰可辨。</w:t>
      </w:r>
    </w:p>
    <w:p w14:paraId="02007EBB">
      <w:pPr>
        <w:numPr>
          <w:ilvl w:val="0"/>
          <w:numId w:val="1"/>
        </w:numPr>
      </w:pPr>
      <w:r>
        <w:rPr>
          <w:b/>
          <w:bCs/>
        </w:rPr>
        <w:t>表脚（备注、制表人、日期等）</w:t>
      </w:r>
      <w:r>
        <w:t>：</w:t>
      </w:r>
    </w:p>
    <w:p w14:paraId="680A78D0">
      <w:pPr>
        <w:numPr>
          <w:ilvl w:val="1"/>
          <w:numId w:val="1"/>
        </w:numPr>
      </w:pPr>
      <w:r>
        <w:t>字体：</w:t>
      </w:r>
      <w:r>
        <w:rPr>
          <w:b/>
          <w:bCs/>
        </w:rPr>
        <w:t>楷体</w:t>
      </w:r>
      <w:r>
        <w:t> 或 </w:t>
      </w:r>
      <w:r>
        <w:rPr>
          <w:b/>
          <w:bCs/>
        </w:rPr>
        <w:t>宋体</w:t>
      </w:r>
      <w:r>
        <w:t>。</w:t>
      </w:r>
    </w:p>
    <w:p w14:paraId="74C9BC32">
      <w:pPr>
        <w:numPr>
          <w:ilvl w:val="1"/>
          <w:numId w:val="1"/>
        </w:numPr>
      </w:pPr>
      <w:r>
        <w:t>字号：</w:t>
      </w:r>
      <w:r>
        <w:rPr>
          <w:b/>
          <w:bCs/>
        </w:rPr>
        <w:t>9号</w:t>
      </w:r>
      <w:r>
        <w:t> 或 </w:t>
      </w:r>
      <w:r>
        <w:rPr>
          <w:b/>
          <w:bCs/>
        </w:rPr>
        <w:t>小五</w:t>
      </w:r>
      <w:r>
        <w:t>，通常为灰色或不加粗以区别于正文。</w:t>
      </w:r>
    </w:p>
    <w:p w14:paraId="7A45CBF0">
      <w:pPr>
        <w:rPr>
          <w:b/>
          <w:bCs/>
        </w:rPr>
      </w:pPr>
      <w:r>
        <w:rPr>
          <w:b/>
          <w:bCs/>
        </w:rPr>
        <w:t>2. 边框与线条</w:t>
      </w:r>
    </w:p>
    <w:p w14:paraId="62ADA71A">
      <w:pPr>
        <w:numPr>
          <w:ilvl w:val="0"/>
          <w:numId w:val="2"/>
        </w:numPr>
      </w:pPr>
      <w:r>
        <w:rPr>
          <w:b/>
          <w:bCs/>
        </w:rPr>
        <w:t>基本原则</w:t>
      </w:r>
      <w:r>
        <w:t>：外框粗，内框细；表头与数据区分界明显。</w:t>
      </w:r>
    </w:p>
    <w:p w14:paraId="3AF08675">
      <w:pPr>
        <w:numPr>
          <w:ilvl w:val="0"/>
          <w:numId w:val="2"/>
        </w:numPr>
      </w:pPr>
      <w:r>
        <w:rPr>
          <w:b/>
          <w:bCs/>
        </w:rPr>
        <w:t>标准设置</w:t>
      </w:r>
      <w:r>
        <w:t>：</w:t>
      </w:r>
    </w:p>
    <w:p w14:paraId="38631391">
      <w:pPr>
        <w:numPr>
          <w:ilvl w:val="1"/>
          <w:numId w:val="2"/>
        </w:numPr>
      </w:pPr>
      <w:r>
        <w:rPr>
          <w:b/>
          <w:bCs/>
        </w:rPr>
        <w:t>外边框</w:t>
      </w:r>
      <w:r>
        <w:t>：</w:t>
      </w:r>
      <w:r>
        <w:rPr>
          <w:b/>
          <w:bCs/>
        </w:rPr>
        <w:t>粗实线</w:t>
      </w:r>
      <w:r>
        <w:t>（1.5磅或2.25磅）。</w:t>
      </w:r>
    </w:p>
    <w:p w14:paraId="4BF26C14">
      <w:pPr>
        <w:numPr>
          <w:ilvl w:val="1"/>
          <w:numId w:val="2"/>
        </w:numPr>
      </w:pPr>
      <w:r>
        <w:rPr>
          <w:b/>
          <w:bCs/>
        </w:rPr>
        <w:t>表头下边框</w:t>
      </w:r>
      <w:r>
        <w:t>：</w:t>
      </w:r>
      <w:r>
        <w:rPr>
          <w:b/>
          <w:bCs/>
        </w:rPr>
        <w:t>双实线</w:t>
      </w:r>
      <w:r>
        <w:t> 或 </w:t>
      </w:r>
      <w:r>
        <w:rPr>
          <w:b/>
          <w:bCs/>
        </w:rPr>
        <w:t>中等粗细实线</w:t>
      </w:r>
      <w:r>
        <w:t>（1.0磅），用于清晰分隔表头与数据。</w:t>
      </w:r>
    </w:p>
    <w:p w14:paraId="2E292344">
      <w:pPr>
        <w:numPr>
          <w:ilvl w:val="1"/>
          <w:numId w:val="2"/>
        </w:numPr>
      </w:pPr>
      <w:r>
        <w:rPr>
          <w:b/>
          <w:bCs/>
        </w:rPr>
        <w:t>内部网格线</w:t>
      </w:r>
      <w:r>
        <w:t>：</w:t>
      </w:r>
      <w:r>
        <w:rPr>
          <w:b/>
          <w:bCs/>
        </w:rPr>
        <w:t>细实线</w:t>
      </w:r>
      <w:r>
        <w:t>（0.5磅或最细）。为保持界面整洁，可在“视图”中取消显示默认的“网格线”，而采用手动设置的边框。</w:t>
      </w:r>
    </w:p>
    <w:p w14:paraId="7B3AC609">
      <w:pPr>
        <w:numPr>
          <w:ilvl w:val="1"/>
          <w:numId w:val="2"/>
        </w:numPr>
      </w:pPr>
      <w:r>
        <w:rPr>
          <w:b/>
          <w:bCs/>
        </w:rPr>
        <w:t>合计行</w:t>
      </w:r>
      <w:r>
        <w:t>：</w:t>
      </w:r>
      <w:r>
        <w:rPr>
          <w:b/>
          <w:bCs/>
        </w:rPr>
        <w:t>上边框为双实线或粗实线</w:t>
      </w:r>
      <w:r>
        <w:t>，与上方数据区分。</w:t>
      </w:r>
    </w:p>
    <w:p w14:paraId="18CC3B69">
      <w:pPr>
        <w:numPr>
          <w:ilvl w:val="1"/>
          <w:numId w:val="2"/>
        </w:numPr>
      </w:pPr>
      <w:r>
        <w:rPr>
          <w:b/>
          <w:bCs/>
        </w:rPr>
        <w:t>小计行</w:t>
      </w:r>
      <w:r>
        <w:t>：上边框可使用</w:t>
      </w:r>
      <w:r>
        <w:rPr>
          <w:b/>
          <w:bCs/>
        </w:rPr>
        <w:t>虚线</w:t>
      </w:r>
      <w:r>
        <w:t>或</w:t>
      </w:r>
      <w:r>
        <w:rPr>
          <w:b/>
          <w:bCs/>
        </w:rPr>
        <w:t>较粗的细实线</w:t>
      </w:r>
      <w:r>
        <w:t>。</w:t>
      </w:r>
    </w:p>
    <w:p w14:paraId="6E0FF399">
      <w:pPr>
        <w:rPr>
          <w:b/>
          <w:bCs/>
        </w:rPr>
      </w:pPr>
      <w:r>
        <w:rPr>
          <w:b/>
          <w:bCs/>
        </w:rPr>
        <w:t>3. 对齐方式</w:t>
      </w:r>
    </w:p>
    <w:p w14:paraId="75012738">
      <w:pPr>
        <w:numPr>
          <w:ilvl w:val="0"/>
          <w:numId w:val="3"/>
        </w:numPr>
      </w:pPr>
      <w:r>
        <w:rPr>
          <w:b/>
          <w:bCs/>
        </w:rPr>
        <w:t>文本型数据</w:t>
      </w:r>
      <w:r>
        <w:t>（如科目名称、项目说明）：</w:t>
      </w:r>
      <w:r>
        <w:rPr>
          <w:b/>
          <w:bCs/>
        </w:rPr>
        <w:t>左对齐</w:t>
      </w:r>
      <w:r>
        <w:t>。</w:t>
      </w:r>
    </w:p>
    <w:p w14:paraId="484A8C40">
      <w:pPr>
        <w:numPr>
          <w:ilvl w:val="0"/>
          <w:numId w:val="3"/>
        </w:numPr>
      </w:pPr>
      <w:r>
        <w:rPr>
          <w:b/>
          <w:bCs/>
        </w:rPr>
        <w:t>数值型数据</w:t>
      </w:r>
      <w:r>
        <w:t>（如金额、数量、百分比）：</w:t>
      </w:r>
      <w:r>
        <w:rPr>
          <w:b/>
          <w:bCs/>
        </w:rPr>
        <w:t>右对齐</w:t>
      </w:r>
      <w:r>
        <w:t>，</w:t>
      </w:r>
      <w:r>
        <w:rPr>
          <w:b/>
          <w:bCs/>
        </w:rPr>
        <w:t>小数点位数必须统一</w:t>
      </w:r>
      <w:r>
        <w:t>。建议使用“会计专用”格式（千位分隔符，负数用括号表示）或“数值”格式。</w:t>
      </w:r>
    </w:p>
    <w:p w14:paraId="6EF3454B">
      <w:pPr>
        <w:numPr>
          <w:ilvl w:val="0"/>
          <w:numId w:val="3"/>
        </w:numPr>
      </w:pPr>
      <w:r>
        <w:rPr>
          <w:b/>
          <w:bCs/>
        </w:rPr>
        <w:t>日期型数据</w:t>
      </w:r>
      <w:r>
        <w:t>：</w:t>
      </w:r>
      <w:r>
        <w:rPr>
          <w:b/>
          <w:bCs/>
        </w:rPr>
        <w:t>右对齐</w:t>
      </w:r>
      <w:r>
        <w:t>或</w:t>
      </w:r>
      <w:r>
        <w:rPr>
          <w:b/>
          <w:bCs/>
        </w:rPr>
        <w:t>居中</w:t>
      </w:r>
      <w:r>
        <w:t>，使用统一的日期格式（如：YYYY-MM-DD）。</w:t>
      </w:r>
    </w:p>
    <w:p w14:paraId="05B64A7B">
      <w:pPr>
        <w:numPr>
          <w:ilvl w:val="0"/>
          <w:numId w:val="3"/>
        </w:numPr>
      </w:pPr>
      <w:r>
        <w:rPr>
          <w:b/>
          <w:bCs/>
        </w:rPr>
        <w:t>表头</w:t>
      </w:r>
      <w:r>
        <w:t>：通常与下方数据对齐方式一致（如“金额”列标题右对齐）。</w:t>
      </w:r>
    </w:p>
    <w:p w14:paraId="3D540A74">
      <w:pPr>
        <w:rPr>
          <w:b/>
          <w:bCs/>
        </w:rPr>
      </w:pPr>
      <w:r>
        <w:rPr>
          <w:b/>
          <w:bCs/>
        </w:rPr>
        <w:t>4. 数字格式</w:t>
      </w:r>
    </w:p>
    <w:p w14:paraId="5C21DFB4">
      <w:pPr>
        <w:numPr>
          <w:ilvl w:val="0"/>
          <w:numId w:val="4"/>
        </w:numPr>
      </w:pPr>
      <w:r>
        <w:rPr>
          <w:b/>
          <w:bCs/>
        </w:rPr>
        <w:t>货币金额</w:t>
      </w:r>
      <w:r>
        <w:t>：建议使用会计格式，无货币符号（或在标题中注明单位“人民币：元”）。例如：#,##0.00_);(#,##0.00)。</w:t>
      </w:r>
    </w:p>
    <w:p w14:paraId="1A8FD4E2">
      <w:pPr>
        <w:numPr>
          <w:ilvl w:val="0"/>
          <w:numId w:val="4"/>
        </w:numPr>
      </w:pPr>
      <w:r>
        <w:rPr>
          <w:b/>
          <w:bCs/>
        </w:rPr>
        <w:t>百分比</w:t>
      </w:r>
      <w:r>
        <w:t>：统一小数位数（如0.00%）。</w:t>
      </w:r>
    </w:p>
    <w:p w14:paraId="1AE6A970">
      <w:pPr>
        <w:numPr>
          <w:ilvl w:val="0"/>
          <w:numId w:val="4"/>
        </w:numPr>
      </w:pPr>
      <w:r>
        <w:rPr>
          <w:b/>
          <w:bCs/>
        </w:rPr>
        <w:t>重要提示</w:t>
      </w:r>
      <w:r>
        <w:t>：</w:t>
      </w:r>
    </w:p>
    <w:p w14:paraId="1DFEDE2B">
      <w:pPr>
        <w:numPr>
          <w:ilvl w:val="1"/>
          <w:numId w:val="4"/>
        </w:numPr>
      </w:pPr>
      <w:r>
        <w:t>确保所有公式计算准确，并锁定关键公式单元格。</w:t>
      </w:r>
    </w:p>
    <w:p w14:paraId="559DDF1A">
      <w:pPr>
        <w:numPr>
          <w:ilvl w:val="1"/>
          <w:numId w:val="4"/>
        </w:numPr>
      </w:pPr>
      <w:r>
        <w:t>使用“千位分隔符”提高大数字的易读性。</w:t>
      </w:r>
    </w:p>
    <w:p w14:paraId="2484CD3A">
      <w:pPr>
        <w:numPr>
          <w:ilvl w:val="1"/>
          <w:numId w:val="4"/>
        </w:numPr>
      </w:pPr>
      <w:r>
        <w:t>负数用</w:t>
      </w:r>
      <w:r>
        <w:rPr>
          <w:b/>
          <w:bCs/>
        </w:rPr>
        <w:t>红色字体</w:t>
      </w:r>
      <w:r>
        <w:t>、</w:t>
      </w:r>
      <w:r>
        <w:rPr>
          <w:b/>
          <w:bCs/>
        </w:rPr>
        <w:t>括号</w:t>
      </w:r>
      <w:r>
        <w:t>或</w:t>
      </w:r>
      <w:r>
        <w:rPr>
          <w:b/>
          <w:bCs/>
        </w:rPr>
        <w:t>前置负号</w:t>
      </w:r>
      <w:r>
        <w:t>表示，并在表注中统一说明。</w:t>
      </w:r>
    </w:p>
    <w:p w14:paraId="15C1E950">
      <w:pPr>
        <w:rPr>
          <w:b/>
          <w:bCs/>
        </w:rPr>
      </w:pPr>
      <w:r>
        <w:rPr>
          <w:b/>
          <w:bCs/>
        </w:rPr>
        <w:t>5. 单元格填充与颜色</w:t>
      </w:r>
    </w:p>
    <w:p w14:paraId="4B20613A">
      <w:pPr>
        <w:numPr>
          <w:ilvl w:val="0"/>
          <w:numId w:val="5"/>
        </w:numPr>
      </w:pPr>
      <w:r>
        <w:rPr>
          <w:b/>
          <w:bCs/>
        </w:rPr>
        <w:t>使用原则</w:t>
      </w:r>
      <w:r>
        <w:t>：极简、克制。通常只在必要时用于强调。</w:t>
      </w:r>
    </w:p>
    <w:p w14:paraId="343ECCA2">
      <w:pPr>
        <w:numPr>
          <w:ilvl w:val="0"/>
          <w:numId w:val="5"/>
        </w:numPr>
      </w:pPr>
      <w:r>
        <w:rPr>
          <w:b/>
          <w:bCs/>
        </w:rPr>
        <w:t>常见用法</w:t>
      </w:r>
      <w:r>
        <w:t>：</w:t>
      </w:r>
    </w:p>
    <w:p w14:paraId="683D1F2B">
      <w:pPr>
        <w:numPr>
          <w:ilvl w:val="1"/>
          <w:numId w:val="5"/>
        </w:numPr>
      </w:pPr>
      <w:r>
        <w:rPr>
          <w:b/>
          <w:bCs/>
        </w:rPr>
        <w:t>表头</w:t>
      </w:r>
      <w:r>
        <w:t>：填充</w:t>
      </w:r>
      <w:r>
        <w:rPr>
          <w:b/>
          <w:bCs/>
        </w:rPr>
        <w:t>浅灰色</w:t>
      </w:r>
      <w:r>
        <w:t>（如15%灰度）以示区分。</w:t>
      </w:r>
    </w:p>
    <w:p w14:paraId="0BE196EE">
      <w:pPr>
        <w:numPr>
          <w:ilvl w:val="1"/>
          <w:numId w:val="5"/>
        </w:numPr>
      </w:pPr>
      <w:r>
        <w:rPr>
          <w:b/>
          <w:bCs/>
        </w:rPr>
        <w:t>合计行</w:t>
      </w:r>
      <w:r>
        <w:t>：填充</w:t>
      </w:r>
      <w:r>
        <w:rPr>
          <w:b/>
          <w:bCs/>
        </w:rPr>
        <w:t>稍深一点的浅灰色</w:t>
      </w:r>
      <w:r>
        <w:t>（如25%灰度）。</w:t>
      </w:r>
    </w:p>
    <w:p w14:paraId="6867E7EC">
      <w:pPr>
        <w:numPr>
          <w:ilvl w:val="1"/>
          <w:numId w:val="5"/>
        </w:numPr>
      </w:pPr>
      <w:r>
        <w:rPr>
          <w:b/>
          <w:bCs/>
        </w:rPr>
        <w:t>需要特别关注的行/列</w:t>
      </w:r>
      <w:r>
        <w:t>（如异常数据）：可使用极浅的黄色或红色填充，</w:t>
      </w:r>
      <w:r>
        <w:rPr>
          <w:b/>
          <w:bCs/>
        </w:rPr>
        <w:t>切忌颜色过深影响阅读</w:t>
      </w:r>
      <w:r>
        <w:t>。</w:t>
      </w:r>
    </w:p>
    <w:p w14:paraId="7539432A">
      <w:pPr>
        <w:numPr>
          <w:ilvl w:val="1"/>
          <w:numId w:val="5"/>
        </w:numPr>
      </w:pPr>
      <w:r>
        <w:rPr>
          <w:b/>
          <w:bCs/>
        </w:rPr>
        <w:t>交替行填充</w:t>
      </w:r>
      <w:r>
        <w:t>：对于长表格，可对数据行使用“斑马线”（交替的浅色填充），增强可读性。</w:t>
      </w:r>
    </w:p>
    <w:p w14:paraId="30D29AD2">
      <w:pPr>
        <w:rPr>
          <w:b/>
          <w:bCs/>
        </w:rPr>
      </w:pPr>
      <w:r>
        <w:rPr>
          <w:b/>
          <w:bCs/>
        </w:rPr>
        <w:t>6. 行高与列宽</w:t>
      </w:r>
    </w:p>
    <w:p w14:paraId="1A8A27CF">
      <w:pPr>
        <w:numPr>
          <w:ilvl w:val="0"/>
          <w:numId w:val="6"/>
        </w:numPr>
      </w:pPr>
      <w:r>
        <w:rPr>
          <w:b/>
          <w:bCs/>
        </w:rPr>
        <w:t>行高</w:t>
      </w:r>
      <w:r>
        <w:t>：根据字号调整，通常设置为 </w:t>
      </w:r>
      <w:r>
        <w:rPr>
          <w:b/>
          <w:bCs/>
        </w:rPr>
        <w:t>18-25磅</w:t>
      </w:r>
      <w:r>
        <w:t>，或使用“自动换行”和“调整行高”功能。</w:t>
      </w:r>
    </w:p>
    <w:p w14:paraId="4125E88C">
      <w:pPr>
        <w:numPr>
          <w:ilvl w:val="0"/>
          <w:numId w:val="6"/>
        </w:numPr>
      </w:pPr>
      <w:r>
        <w:rPr>
          <w:b/>
          <w:bCs/>
        </w:rPr>
        <w:t>列宽</w:t>
      </w:r>
      <w:r>
        <w:t>：以能完整显示内容为准，不出现“####”或被截断的文字。可双击列标边界自动调整。</w:t>
      </w:r>
    </w:p>
    <w:p w14:paraId="66570D1C">
      <w:pPr>
        <w:rPr>
          <w:b/>
          <w:bCs/>
        </w:rPr>
      </w:pPr>
      <w:r>
        <w:rPr>
          <w:b/>
          <w:bCs/>
        </w:rPr>
        <w:t>7. 打印设置</w:t>
      </w:r>
    </w:p>
    <w:p w14:paraId="349EEB9A">
      <w:pPr>
        <w:numPr>
          <w:ilvl w:val="0"/>
          <w:numId w:val="7"/>
        </w:numPr>
      </w:pPr>
      <w:r>
        <w:rPr>
          <w:b/>
          <w:bCs/>
        </w:rPr>
        <w:t>页面布局</w:t>
      </w:r>
      <w:r>
        <w:t>：设置为 </w:t>
      </w:r>
      <w:r>
        <w:rPr>
          <w:b/>
          <w:bCs/>
        </w:rPr>
        <w:t>A4</w:t>
      </w:r>
      <w:r>
        <w:t>、</w:t>
      </w:r>
      <w:r>
        <w:rPr>
          <w:b/>
          <w:bCs/>
        </w:rPr>
        <w:t>纵向</w:t>
      </w:r>
      <w:r>
        <w:t>（宽表可用横向）。</w:t>
      </w:r>
    </w:p>
    <w:p w14:paraId="4FC13329">
      <w:pPr>
        <w:numPr>
          <w:ilvl w:val="0"/>
          <w:numId w:val="7"/>
        </w:numPr>
      </w:pPr>
      <w:r>
        <w:rPr>
          <w:b/>
          <w:bCs/>
        </w:rPr>
        <w:t>页边距</w:t>
      </w:r>
      <w:r>
        <w:t>：适中，通常使用“普通”或“窄”边距。</w:t>
      </w:r>
    </w:p>
    <w:p w14:paraId="41D478EC">
      <w:pPr>
        <w:numPr>
          <w:ilvl w:val="0"/>
          <w:numId w:val="7"/>
        </w:numPr>
      </w:pPr>
      <w:r>
        <w:rPr>
          <w:b/>
          <w:bCs/>
        </w:rPr>
        <w:t>居中方式</w:t>
      </w:r>
      <w:r>
        <w:t>：在“页面设置”中，勾选 </w:t>
      </w:r>
      <w:r>
        <w:rPr>
          <w:b/>
          <w:bCs/>
        </w:rPr>
        <w:t>水平居中</w:t>
      </w:r>
      <w:r>
        <w:t>（必要时勾选垂直居中）。</w:t>
      </w:r>
    </w:p>
    <w:p w14:paraId="0F2FC516">
      <w:pPr>
        <w:numPr>
          <w:ilvl w:val="0"/>
          <w:numId w:val="7"/>
        </w:numPr>
      </w:pPr>
      <w:r>
        <w:rPr>
          <w:b/>
          <w:bCs/>
        </w:rPr>
        <w:t>页眉页脚</w:t>
      </w:r>
      <w:r>
        <w:t>：可设置页眉为报告名称/表格名称，页脚为页码（格式如“第 1 页 共 * 页”）和打印日期。</w:t>
      </w:r>
    </w:p>
    <w:p w14:paraId="36A89E2E">
      <w:pPr>
        <w:numPr>
          <w:ilvl w:val="0"/>
          <w:numId w:val="7"/>
        </w:numPr>
      </w:pPr>
      <w:r>
        <w:rPr>
          <w:b/>
          <w:bCs/>
        </w:rPr>
        <w:t>标题行重复</w:t>
      </w:r>
      <w:r>
        <w:t>：若表格跨页，在“页面布局”-&gt;“打印标题”中设置“顶端标题行”，确保每页都打印表头。</w:t>
      </w:r>
    </w:p>
    <w:p w14:paraId="0BFAADAF">
      <w:pPr>
        <w:rPr>
          <w:b/>
          <w:bCs/>
        </w:rPr>
      </w:pPr>
    </w:p>
    <w:p w14:paraId="5610293C">
      <w:pPr>
        <w:rPr>
          <w:b/>
          <w:bCs/>
        </w:rPr>
      </w:pPr>
      <w:r>
        <w:rPr>
          <w:rFonts w:hint="eastAsia"/>
          <w:b/>
          <w:bCs/>
        </w:rPr>
        <w:t>二、示范案例</w:t>
      </w:r>
    </w:p>
    <w:p w14:paraId="7CFFB255">
      <w:r>
        <w:drawing>
          <wp:inline distT="0" distB="0" distL="0" distR="0">
            <wp:extent cx="5274310" cy="2444750"/>
            <wp:effectExtent l="0" t="0" r="2540" b="0"/>
            <wp:docPr id="108927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779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95F2">
      <w:pPr>
        <w:rPr>
          <w:rFonts w:hint="eastAsia"/>
        </w:rPr>
      </w:pPr>
    </w:p>
    <w:tbl>
      <w:tblPr>
        <w:tblStyle w:val="1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1318"/>
        <w:gridCol w:w="2332"/>
        <w:gridCol w:w="2330"/>
        <w:gridCol w:w="1715"/>
      </w:tblGrid>
      <w:tr w14:paraId="742026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96594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序号</w:t>
            </w:r>
          </w:p>
        </w:tc>
        <w:tc>
          <w:tcPr>
            <w:tcW w:w="13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AE4F5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E977E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2023年金额（元）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6ACCB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2022年金额（元）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FB06E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变动率（%）</w:t>
            </w:r>
          </w:p>
        </w:tc>
      </w:tr>
      <w:tr w14:paraId="4FA2A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C90B0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77519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主营业务收入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40CA9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10,000,000.00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67B4D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8,500,000.00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4EC85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17.65%</w:t>
            </w:r>
          </w:p>
        </w:tc>
      </w:tr>
      <w:tr w14:paraId="4774FF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468422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7E1EB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营业成本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2DED7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6,000,000.00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BE294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5,300,000.00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2700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13.21%</w:t>
            </w:r>
          </w:p>
        </w:tc>
      </w:tr>
      <w:tr w14:paraId="5390D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126B3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小计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68A39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毛利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1ADCF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4,000,000.00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5B6D6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3,200,000.00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42B60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25.00%</w:t>
            </w:r>
          </w:p>
        </w:tc>
      </w:tr>
      <w:tr w14:paraId="5CDD66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0604A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...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AF2BE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F203D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4AD5C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5B7D28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  <w:t>...</w:t>
            </w:r>
          </w:p>
        </w:tc>
      </w:tr>
      <w:tr w14:paraId="291916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08B51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总计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D8315">
            <w:pPr>
              <w:widowControl/>
              <w:spacing w:after="0" w:line="375" w:lineRule="atLeas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净利润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AA29C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1,500,000.00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CF665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1,200,000.00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52B40">
            <w:pPr>
              <w:widowControl/>
              <w:spacing w:after="0" w:line="375" w:lineRule="atLeast"/>
              <w:jc w:val="right"/>
              <w:rPr>
                <w:rFonts w:ascii="Segoe UI" w:hAnsi="Segoe UI" w:eastAsia="宋体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 w:val="23"/>
                <w:szCs w:val="23"/>
                <w14:ligatures w14:val="none"/>
              </w:rPr>
              <w:t>25.00%</w:t>
            </w:r>
          </w:p>
        </w:tc>
      </w:tr>
    </w:tbl>
    <w:p w14:paraId="428808B9">
      <w:pPr>
        <w:pStyle w:val="30"/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4"/>
          <w14:ligatures w14:val="none"/>
        </w:rPr>
        <w:t>注：</w:t>
      </w:r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> 1. 本表数据已进行审计调整；2. 变动率计算基数为2022年金额；3. 负数以红色加括号表示。</w:t>
      </w:r>
    </w:p>
    <w:p w14:paraId="6D31620F"/>
    <w:p w14:paraId="7EF9522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D2D37"/>
    <w:multiLevelType w:val="multilevel"/>
    <w:tmpl w:val="116D2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BC501F"/>
    <w:multiLevelType w:val="multilevel"/>
    <w:tmpl w:val="1ABC5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B81D2B"/>
    <w:multiLevelType w:val="multilevel"/>
    <w:tmpl w:val="22B81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A73D74"/>
    <w:multiLevelType w:val="multilevel"/>
    <w:tmpl w:val="28A73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6806700"/>
    <w:multiLevelType w:val="multilevel"/>
    <w:tmpl w:val="46806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7257C9F"/>
    <w:multiLevelType w:val="multilevel"/>
    <w:tmpl w:val="57257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D29268B"/>
    <w:multiLevelType w:val="multilevel"/>
    <w:tmpl w:val="5D292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38B"/>
    <w:rsid w:val="000E5651"/>
    <w:rsid w:val="001F1595"/>
    <w:rsid w:val="00684807"/>
    <w:rsid w:val="00716533"/>
    <w:rsid w:val="00740385"/>
    <w:rsid w:val="007F187C"/>
    <w:rsid w:val="00862F39"/>
    <w:rsid w:val="009A0BCA"/>
    <w:rsid w:val="00B530F7"/>
    <w:rsid w:val="00B6157C"/>
    <w:rsid w:val="00BE5B49"/>
    <w:rsid w:val="00E4238B"/>
    <w:rsid w:val="2E0B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qFormat="1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Theme"/>
    <w:basedOn w:val="13"/>
    <w:unhideWhenUsed/>
    <w:qFormat/>
    <w:uiPriority w:val="99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ds-markdown-paragraph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1240</Words>
  <Characters>1452</Characters>
  <Lines>40</Lines>
  <Paragraphs>38</Paragraphs>
  <TotalTime>25</TotalTime>
  <ScaleCrop>false</ScaleCrop>
  <LinksUpToDate>false</LinksUpToDate>
  <CharactersWithSpaces>1492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2025-12-22T03:01:00Z</dcterms:created>
  <dc:creator>Henry Zhu</dc:creator>
  <cp:lastModifiedBy>ZGM（cpa）</cp:lastModifiedBy>
  <dcterms:modified xsi:type="dcterms:W3CDTF">2025-12-23T00:44:32Z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eyJoZGlkIjoiNTI1MTBjMTQwYWJkZjFmYjVlYTE3ZjE3ZDhmZjhiYWYiLCJ1c2VySWQiOiIzOTA2NjU5NTAifQ==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AAA8068B1A174835A40A605399ED3E50_12</vt:lpwstr>
  </property>
</Properties>
</file>