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FC2" w:rsidRPr="005777EF" w:rsidRDefault="005777EF" w:rsidP="005777EF">
      <w:pPr>
        <w:jc w:val="center"/>
        <w:rPr>
          <w:b/>
          <w:bCs/>
          <w:sz w:val="32"/>
          <w:szCs w:val="36"/>
        </w:rPr>
      </w:pPr>
      <w:r w:rsidRPr="005777EF">
        <w:rPr>
          <w:rFonts w:hint="eastAsia"/>
          <w:b/>
          <w:bCs/>
          <w:sz w:val="32"/>
          <w:szCs w:val="36"/>
        </w:rPr>
        <w:t>北京航空航天大学</w:t>
      </w:r>
      <w:r w:rsidRPr="005777EF">
        <w:rPr>
          <w:b/>
          <w:bCs/>
          <w:sz w:val="32"/>
          <w:szCs w:val="36"/>
        </w:rPr>
        <w:t>2019</w:t>
      </w:r>
      <w:r w:rsidRPr="005777EF">
        <w:rPr>
          <w:rFonts w:hint="eastAsia"/>
          <w:b/>
          <w:bCs/>
          <w:sz w:val="32"/>
          <w:szCs w:val="36"/>
        </w:rPr>
        <w:t>年数学建模竞赛</w:t>
      </w:r>
    </w:p>
    <w:p w:rsidR="005777EF" w:rsidRPr="005777EF" w:rsidRDefault="005777EF" w:rsidP="005777EF">
      <w:pPr>
        <w:jc w:val="center"/>
        <w:rPr>
          <w:b/>
          <w:bCs/>
          <w:sz w:val="32"/>
          <w:szCs w:val="36"/>
        </w:rPr>
      </w:pPr>
      <w:r w:rsidRPr="005777EF">
        <w:rPr>
          <w:rFonts w:hint="eastAsia"/>
          <w:b/>
          <w:bCs/>
          <w:noProof/>
          <w:sz w:val="32"/>
          <w:szCs w:val="36"/>
        </w:rPr>
        <w:drawing>
          <wp:inline distT="0" distB="0" distL="0" distR="0">
            <wp:extent cx="368617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6175" cy="590550"/>
                    </a:xfrm>
                    <a:prstGeom prst="rect">
                      <a:avLst/>
                    </a:prstGeom>
                    <a:noFill/>
                    <a:ln>
                      <a:noFill/>
                    </a:ln>
                  </pic:spPr>
                </pic:pic>
              </a:graphicData>
            </a:graphic>
          </wp:inline>
        </w:drawing>
      </w:r>
    </w:p>
    <w:p w:rsidR="005777EF" w:rsidRDefault="005777EF"/>
    <w:p w:rsidR="005777EF" w:rsidRPr="00E23D22" w:rsidRDefault="005777EF">
      <w:pPr>
        <w:rPr>
          <w:b/>
          <w:bCs/>
          <w:sz w:val="24"/>
          <w:szCs w:val="28"/>
        </w:rPr>
      </w:pPr>
      <w:r w:rsidRPr="00E23D22">
        <w:rPr>
          <w:rFonts w:hint="eastAsia"/>
          <w:b/>
          <w:bCs/>
          <w:sz w:val="24"/>
          <w:szCs w:val="28"/>
        </w:rPr>
        <w:t>A题：</w:t>
      </w:r>
      <w:r w:rsidR="00DC464A" w:rsidRPr="00E23D22">
        <w:rPr>
          <w:rFonts w:hint="eastAsia"/>
          <w:b/>
          <w:bCs/>
          <w:sz w:val="24"/>
          <w:szCs w:val="28"/>
        </w:rPr>
        <w:t>货运车辆</w:t>
      </w:r>
      <w:r w:rsidRPr="00E23D22">
        <w:rPr>
          <w:rFonts w:hint="eastAsia"/>
          <w:b/>
          <w:bCs/>
          <w:sz w:val="24"/>
          <w:szCs w:val="28"/>
        </w:rPr>
        <w:t>盲区智能监控预警问题</w:t>
      </w:r>
    </w:p>
    <w:p w:rsidR="005777EF" w:rsidRDefault="00DC464A" w:rsidP="009D396A">
      <w:pPr>
        <w:ind w:firstLineChars="200" w:firstLine="480"/>
        <w:rPr>
          <w:sz w:val="24"/>
          <w:szCs w:val="28"/>
        </w:rPr>
      </w:pPr>
      <w:r w:rsidRPr="00DC464A">
        <w:rPr>
          <w:rFonts w:hint="eastAsia"/>
          <w:sz w:val="24"/>
          <w:szCs w:val="28"/>
        </w:rPr>
        <w:t>中国</w:t>
      </w:r>
      <w:r>
        <w:rPr>
          <w:rFonts w:hint="eastAsia"/>
          <w:sz w:val="24"/>
          <w:szCs w:val="28"/>
        </w:rPr>
        <w:t>作为世界第一大物流货运国家，</w:t>
      </w:r>
      <w:r w:rsidRPr="00DC464A">
        <w:rPr>
          <w:rFonts w:hint="eastAsia"/>
          <w:sz w:val="24"/>
          <w:szCs w:val="28"/>
        </w:rPr>
        <w:t>货运总量</w:t>
      </w:r>
      <w:r>
        <w:rPr>
          <w:rFonts w:hint="eastAsia"/>
          <w:sz w:val="24"/>
          <w:szCs w:val="28"/>
        </w:rPr>
        <w:t>的</w:t>
      </w:r>
      <w:r w:rsidRPr="00DC464A">
        <w:rPr>
          <w:sz w:val="24"/>
          <w:szCs w:val="28"/>
        </w:rPr>
        <w:t>76％是靠公路运输完成的</w:t>
      </w:r>
      <w:r>
        <w:rPr>
          <w:rFonts w:hint="eastAsia"/>
          <w:sz w:val="24"/>
          <w:szCs w:val="28"/>
        </w:rPr>
        <w:t>。2</w:t>
      </w:r>
      <w:r>
        <w:rPr>
          <w:sz w:val="24"/>
          <w:szCs w:val="28"/>
        </w:rPr>
        <w:t>018</w:t>
      </w:r>
      <w:r>
        <w:rPr>
          <w:rFonts w:hint="eastAsia"/>
          <w:sz w:val="24"/>
          <w:szCs w:val="28"/>
        </w:rPr>
        <w:t>年有超过1</w:t>
      </w:r>
      <w:r>
        <w:rPr>
          <w:sz w:val="24"/>
          <w:szCs w:val="28"/>
        </w:rPr>
        <w:t>500</w:t>
      </w:r>
      <w:r>
        <w:rPr>
          <w:rFonts w:hint="eastAsia"/>
          <w:sz w:val="24"/>
          <w:szCs w:val="28"/>
        </w:rPr>
        <w:t>万货运车辆累计运输了3</w:t>
      </w:r>
      <w:r>
        <w:rPr>
          <w:sz w:val="24"/>
          <w:szCs w:val="28"/>
        </w:rPr>
        <w:t>30</w:t>
      </w:r>
      <w:r>
        <w:rPr>
          <w:rFonts w:hint="eastAsia"/>
          <w:sz w:val="24"/>
          <w:szCs w:val="28"/>
        </w:rPr>
        <w:t>亿吨以上的货物，成为国家保持经济活力的重要组成部分。然而，由于货运车辆自身的体积、高度、长度和复杂结构等原因，其行车盲区要显著大于其他小型车辆。实际上，大多数的货运车辆事故都与行驶盲区有一定关系。随着机器视觉等人工智能技术的不断发展成熟，通过车载摄像头、车载雷达等设备采集到的信号可以使用机器学习算法识别判定货运车辆盲区中的行人、车辆和障碍物等，有效实现盲区智能监控预警。</w:t>
      </w:r>
      <w:r w:rsidR="006978CD">
        <w:rPr>
          <w:rFonts w:hint="eastAsia"/>
          <w:sz w:val="24"/>
          <w:szCs w:val="28"/>
        </w:rPr>
        <w:t>请结合货运车辆盲区的特点，建立合理的模型解决盲区智能监控预警问题，实现以下两点基本功能：1</w:t>
      </w:r>
      <w:r w:rsidR="006978CD">
        <w:rPr>
          <w:sz w:val="24"/>
          <w:szCs w:val="28"/>
        </w:rPr>
        <w:t>.</w:t>
      </w:r>
      <w:r w:rsidR="006978CD">
        <w:rPr>
          <w:rFonts w:hint="eastAsia"/>
          <w:sz w:val="24"/>
          <w:szCs w:val="28"/>
        </w:rPr>
        <w:t>通过雷达测距或者多目机器视觉识别定位盲区中的物体，特别是行人；2</w:t>
      </w:r>
      <w:r w:rsidR="006978CD">
        <w:rPr>
          <w:sz w:val="24"/>
          <w:szCs w:val="28"/>
        </w:rPr>
        <w:t>.</w:t>
      </w:r>
      <w:r w:rsidR="006978CD">
        <w:rPr>
          <w:rFonts w:hint="eastAsia"/>
          <w:sz w:val="24"/>
          <w:szCs w:val="28"/>
        </w:rPr>
        <w:t>考虑车辆长宽对转弯半径的影响，对货运车辆转弯时盲区变化给出分析。</w:t>
      </w:r>
    </w:p>
    <w:p w:rsidR="006978CD" w:rsidRPr="00E23D22" w:rsidRDefault="006978CD">
      <w:pPr>
        <w:rPr>
          <w:b/>
          <w:bCs/>
          <w:sz w:val="24"/>
          <w:szCs w:val="28"/>
        </w:rPr>
      </w:pPr>
      <w:r w:rsidRPr="00E23D22">
        <w:rPr>
          <w:rFonts w:hint="eastAsia"/>
          <w:b/>
          <w:bCs/>
          <w:sz w:val="24"/>
          <w:szCs w:val="28"/>
        </w:rPr>
        <w:t>附图：货运车辆盲区示意图</w:t>
      </w:r>
    </w:p>
    <w:p w:rsidR="006978CD" w:rsidRDefault="006978CD" w:rsidP="006978CD">
      <w:pPr>
        <w:jc w:val="center"/>
        <w:rPr>
          <w:sz w:val="24"/>
          <w:szCs w:val="28"/>
        </w:rPr>
      </w:pPr>
      <w:r>
        <w:rPr>
          <w:noProof/>
        </w:rPr>
        <w:drawing>
          <wp:inline distT="0" distB="0" distL="0" distR="0">
            <wp:extent cx="3116823" cy="1057275"/>
            <wp:effectExtent l="0" t="0" r="7620" b="0"/>
            <wp:docPr id="3" name="图片 3" descr="https://timgsa.baidu.com/timg?image&amp;quality=80&amp;size=b9999_10000&amp;sec=1564034814705&amp;di=259ab3f445dc22fa7279b7aea1015ed1&amp;imgtype=0&amp;src=http%3A%2F%2F5b0988e595225.cdn.sohucs.com%2Fimages%2F20180901%2F02ca7436ac2b4451a704e9adbbf0ba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imgsa.baidu.com/timg?image&amp;quality=80&amp;size=b9999_10000&amp;sec=1564034814705&amp;di=259ab3f445dc22fa7279b7aea1015ed1&amp;imgtype=0&amp;src=http%3A%2F%2F5b0988e595225.cdn.sohucs.com%2Fimages%2F20180901%2F02ca7436ac2b4451a704e9adbbf0bac0.jpeg"/>
                    <pic:cNvPicPr>
                      <a:picLocks noChangeAspect="1" noChangeArrowheads="1"/>
                    </pic:cNvPicPr>
                  </pic:nvPicPr>
                  <pic:blipFill rotWithShape="1">
                    <a:blip r:embed="rId5">
                      <a:extLst>
                        <a:ext uri="{28A0092B-C50C-407E-A947-70E740481C1C}">
                          <a14:useLocalDpi xmlns:a14="http://schemas.microsoft.com/office/drawing/2010/main" val="0"/>
                        </a:ext>
                      </a:extLst>
                    </a:blip>
                    <a:srcRect r="-8" b="67903"/>
                    <a:stretch/>
                  </pic:blipFill>
                  <pic:spPr bwMode="auto">
                    <a:xfrm>
                      <a:off x="0" y="0"/>
                      <a:ext cx="3200118" cy="1085530"/>
                    </a:xfrm>
                    <a:prstGeom prst="rect">
                      <a:avLst/>
                    </a:prstGeom>
                    <a:noFill/>
                    <a:ln>
                      <a:noFill/>
                    </a:ln>
                    <a:extLst>
                      <a:ext uri="{53640926-AAD7-44D8-BBD7-CCE9431645EC}">
                        <a14:shadowObscured xmlns:a14="http://schemas.microsoft.com/office/drawing/2010/main"/>
                      </a:ext>
                    </a:extLst>
                  </pic:spPr>
                </pic:pic>
              </a:graphicData>
            </a:graphic>
          </wp:inline>
        </w:drawing>
      </w:r>
    </w:p>
    <w:p w:rsidR="006978CD" w:rsidRDefault="006978CD" w:rsidP="006978CD">
      <w:pPr>
        <w:jc w:val="center"/>
        <w:rPr>
          <w:sz w:val="24"/>
          <w:szCs w:val="28"/>
        </w:rPr>
      </w:pPr>
      <w:r>
        <w:rPr>
          <w:noProof/>
        </w:rPr>
        <w:drawing>
          <wp:inline distT="0" distB="0" distL="0" distR="0">
            <wp:extent cx="2762250" cy="1515811"/>
            <wp:effectExtent l="0" t="0" r="0" b="8255"/>
            <wp:docPr id="4" name="图片 4" descr="http://5b0988e595225.cdn.sohucs.com/images/20180801/a999d00943854dfab2e6153362149b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b0988e595225.cdn.sohucs.com/images/20180801/a999d00943854dfab2e6153362149be9.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2282" cy="1526803"/>
                    </a:xfrm>
                    <a:prstGeom prst="rect">
                      <a:avLst/>
                    </a:prstGeom>
                    <a:noFill/>
                    <a:ln>
                      <a:noFill/>
                    </a:ln>
                  </pic:spPr>
                </pic:pic>
              </a:graphicData>
            </a:graphic>
          </wp:inline>
        </w:drawing>
      </w:r>
    </w:p>
    <w:p w:rsidR="006978CD" w:rsidRPr="00E23D22" w:rsidRDefault="007F2C77" w:rsidP="006978CD">
      <w:pPr>
        <w:rPr>
          <w:b/>
          <w:bCs/>
          <w:sz w:val="24"/>
          <w:szCs w:val="28"/>
        </w:rPr>
      </w:pPr>
      <w:r w:rsidRPr="00E23D22">
        <w:rPr>
          <w:b/>
          <w:bCs/>
          <w:sz w:val="24"/>
          <w:szCs w:val="28"/>
        </w:rPr>
        <w:lastRenderedPageBreak/>
        <w:t>B</w:t>
      </w:r>
      <w:r w:rsidR="006978CD" w:rsidRPr="00E23D22">
        <w:rPr>
          <w:rFonts w:hint="eastAsia"/>
          <w:b/>
          <w:bCs/>
          <w:sz w:val="24"/>
          <w:szCs w:val="28"/>
        </w:rPr>
        <w:t>题：</w:t>
      </w:r>
      <w:r w:rsidR="009D396A" w:rsidRPr="00E23D22">
        <w:rPr>
          <w:rFonts w:hint="eastAsia"/>
          <w:b/>
          <w:bCs/>
          <w:sz w:val="24"/>
          <w:szCs w:val="28"/>
        </w:rPr>
        <w:t>基于基因表达数据的基因网络构建</w:t>
      </w:r>
      <w:r w:rsidR="006978CD" w:rsidRPr="00E23D22">
        <w:rPr>
          <w:rFonts w:hint="eastAsia"/>
          <w:b/>
          <w:bCs/>
          <w:sz w:val="24"/>
          <w:szCs w:val="28"/>
        </w:rPr>
        <w:t>问题</w:t>
      </w:r>
    </w:p>
    <w:p w:rsidR="006978CD" w:rsidRDefault="009D396A" w:rsidP="009D396A">
      <w:pPr>
        <w:ind w:firstLineChars="200" w:firstLine="480"/>
        <w:rPr>
          <w:sz w:val="24"/>
          <w:szCs w:val="28"/>
        </w:rPr>
      </w:pPr>
      <w:r w:rsidRPr="009D396A">
        <w:rPr>
          <w:rFonts w:hint="eastAsia"/>
          <w:sz w:val="24"/>
          <w:szCs w:val="28"/>
        </w:rPr>
        <w:t>基因表达数据的分析和应用是现代生物医学最重要和最丰富的研究领域之一，提供丰富生物医学信息</w:t>
      </w:r>
      <w:r>
        <w:rPr>
          <w:rFonts w:hint="eastAsia"/>
          <w:sz w:val="24"/>
          <w:szCs w:val="28"/>
        </w:rPr>
        <w:t>。</w:t>
      </w:r>
      <w:r w:rsidRPr="009D396A">
        <w:rPr>
          <w:rFonts w:hint="eastAsia"/>
          <w:sz w:val="24"/>
          <w:szCs w:val="28"/>
        </w:rPr>
        <w:t>从大量生物医学数据中寻找分子间的直接关联或依赖关系对于重构生物网络，特别是基因网络具有重要意义，有助于阐明复杂生物过程的分子机制。对基因网络进行重构和关键特征分析，</w:t>
      </w:r>
      <w:r>
        <w:rPr>
          <w:rFonts w:hint="eastAsia"/>
          <w:sz w:val="24"/>
          <w:szCs w:val="28"/>
        </w:rPr>
        <w:t>可以通过数据分析</w:t>
      </w:r>
      <w:r w:rsidRPr="009D396A">
        <w:rPr>
          <w:rFonts w:hint="eastAsia"/>
          <w:sz w:val="24"/>
          <w:szCs w:val="28"/>
        </w:rPr>
        <w:t>对基因间关系进行重新认识，最终实现辅助癌症等疾病的治疗诊断目的。</w:t>
      </w:r>
      <w:r w:rsidR="00684B87">
        <w:rPr>
          <w:rFonts w:hint="eastAsia"/>
          <w:sz w:val="24"/>
          <w:szCs w:val="28"/>
        </w:rPr>
        <w:t>请</w:t>
      </w:r>
      <w:r w:rsidR="00684B87" w:rsidRPr="00684B87">
        <w:rPr>
          <w:rFonts w:hint="eastAsia"/>
          <w:sz w:val="24"/>
          <w:szCs w:val="28"/>
        </w:rPr>
        <w:t>从公开数据库</w:t>
      </w:r>
      <w:r w:rsidR="00684B87" w:rsidRPr="00684B87">
        <w:rPr>
          <w:sz w:val="24"/>
          <w:szCs w:val="28"/>
        </w:rPr>
        <w:t>(如NCBI、TCGA等)中下载</w:t>
      </w:r>
      <w:r w:rsidR="00684B87">
        <w:rPr>
          <w:rFonts w:hint="eastAsia"/>
          <w:sz w:val="24"/>
          <w:szCs w:val="28"/>
        </w:rPr>
        <w:t>某类疾病的</w:t>
      </w:r>
      <w:r w:rsidR="00684B87" w:rsidRPr="00684B87">
        <w:rPr>
          <w:sz w:val="24"/>
          <w:szCs w:val="28"/>
        </w:rPr>
        <w:t>基因表达数据</w:t>
      </w:r>
      <w:r w:rsidR="00684B87">
        <w:rPr>
          <w:rFonts w:hint="eastAsia"/>
          <w:sz w:val="24"/>
          <w:szCs w:val="28"/>
        </w:rPr>
        <w:t>，使用模型化方法（如互信息熵、P值法等）</w:t>
      </w:r>
      <w:r w:rsidR="00E23D22">
        <w:rPr>
          <w:rFonts w:hint="eastAsia"/>
          <w:sz w:val="24"/>
          <w:szCs w:val="28"/>
        </w:rPr>
        <w:t>根据表达数据构建基因关联网络并分析网络结构特征。</w:t>
      </w:r>
    </w:p>
    <w:p w:rsidR="00E23D22" w:rsidRPr="00E23D22" w:rsidRDefault="00E23D22" w:rsidP="00E23D22">
      <w:pPr>
        <w:rPr>
          <w:b/>
          <w:bCs/>
          <w:sz w:val="24"/>
          <w:szCs w:val="28"/>
        </w:rPr>
      </w:pPr>
      <w:bookmarkStart w:id="0" w:name="_GoBack"/>
      <w:r w:rsidRPr="00E23D22">
        <w:rPr>
          <w:rFonts w:hint="eastAsia"/>
          <w:b/>
          <w:bCs/>
          <w:sz w:val="24"/>
          <w:szCs w:val="28"/>
        </w:rPr>
        <w:t>附图：基因表达数据示例</w:t>
      </w:r>
    </w:p>
    <w:bookmarkEnd w:id="0"/>
    <w:p w:rsidR="00E23D22" w:rsidRDefault="00E23D22" w:rsidP="00E23D22">
      <w:pPr>
        <w:rPr>
          <w:rFonts w:hint="eastAsia"/>
          <w:sz w:val="24"/>
          <w:szCs w:val="28"/>
        </w:rPr>
      </w:pPr>
      <w:r>
        <w:rPr>
          <w:noProof/>
          <w:sz w:val="24"/>
          <w:szCs w:val="28"/>
        </w:rPr>
        <w:drawing>
          <wp:inline distT="0" distB="0" distL="0" distR="0" wp14:anchorId="3F7692E0">
            <wp:extent cx="4929893" cy="266700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9593" cy="2672247"/>
                    </a:xfrm>
                    <a:prstGeom prst="rect">
                      <a:avLst/>
                    </a:prstGeom>
                    <a:noFill/>
                  </pic:spPr>
                </pic:pic>
              </a:graphicData>
            </a:graphic>
          </wp:inline>
        </w:drawing>
      </w:r>
    </w:p>
    <w:p w:rsidR="006978CD" w:rsidRPr="006978CD" w:rsidRDefault="006978CD" w:rsidP="006978CD">
      <w:pPr>
        <w:jc w:val="center"/>
        <w:rPr>
          <w:rFonts w:hint="eastAsia"/>
          <w:sz w:val="24"/>
          <w:szCs w:val="28"/>
        </w:rPr>
      </w:pPr>
    </w:p>
    <w:sectPr w:rsidR="006978CD" w:rsidRPr="006978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EF"/>
    <w:rsid w:val="00031936"/>
    <w:rsid w:val="00325B80"/>
    <w:rsid w:val="00372DB0"/>
    <w:rsid w:val="005777EF"/>
    <w:rsid w:val="00684B87"/>
    <w:rsid w:val="006978CD"/>
    <w:rsid w:val="007F2C77"/>
    <w:rsid w:val="009D396A"/>
    <w:rsid w:val="00BE7BF6"/>
    <w:rsid w:val="00DC464A"/>
    <w:rsid w:val="00E23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115D"/>
  <w15:chartTrackingRefBased/>
  <w15:docId w15:val="{DA33322B-5C59-4BFD-A563-A929123B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2019-07-25T02:34:00Z</dcterms:created>
  <dcterms:modified xsi:type="dcterms:W3CDTF">2019-07-25T04:11:00Z</dcterms:modified>
</cp:coreProperties>
</file>