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before="100" w:beforeAutospacing="1" w:after="156"/>
        <w:ind w:firstLine="482"/>
        <w:jc w:val="right"/>
        <w:rPr>
          <w:rFonts w:ascii="宋体" w:hAnsi="宋体" w:cs="宋体"/>
          <w:color w:val="000000"/>
          <w:kern w:val="0"/>
          <w:sz w:val="27"/>
          <w:szCs w:val="27"/>
        </w:rPr>
      </w:pPr>
      <w:r>
        <w:rPr>
          <w:rFonts w:hint="eastAsia" w:ascii="宋体" w:hAnsi="宋体" w:cs="宋体"/>
          <w:b/>
          <w:bCs/>
          <w:color w:val="000000"/>
          <w:kern w:val="0"/>
          <w:sz w:val="24"/>
          <w:szCs w:val="24"/>
        </w:rPr>
        <w:t>合同编号：________</w:t>
      </w:r>
    </w:p>
    <w:p>
      <w:pPr>
        <w:widowControl/>
        <w:spacing w:before="100" w:beforeAutospacing="1" w:after="156"/>
        <w:ind w:right="560" w:firstLine="1040"/>
        <w:jc w:val="left"/>
        <w:rPr>
          <w:rFonts w:ascii="宋体" w:hAnsi="宋体" w:cs="宋体"/>
          <w:color w:val="000000"/>
          <w:kern w:val="0"/>
          <w:sz w:val="27"/>
          <w:szCs w:val="27"/>
        </w:rPr>
      </w:pPr>
      <w:r>
        <w:rPr>
          <w:rFonts w:hint="eastAsia" w:ascii="宋体" w:hAnsi="宋体" w:cs="宋体"/>
          <w:color w:val="000000"/>
          <w:kern w:val="0"/>
          <w:sz w:val="52"/>
          <w:szCs w:val="52"/>
        </w:rPr>
        <w:t> </w:t>
      </w:r>
    </w:p>
    <w:p>
      <w:pPr>
        <w:widowControl/>
        <w:spacing w:before="100" w:beforeAutospacing="1" w:after="156"/>
        <w:ind w:firstLine="1044"/>
        <w:jc w:val="center"/>
        <w:rPr>
          <w:rFonts w:ascii="宋体" w:hAnsi="宋体" w:cs="宋体"/>
          <w:color w:val="000000"/>
          <w:kern w:val="0"/>
          <w:sz w:val="27"/>
          <w:szCs w:val="27"/>
        </w:rPr>
      </w:pPr>
      <w:r>
        <w:rPr>
          <w:rFonts w:hint="eastAsia" w:ascii="宋体" w:hAnsi="宋体" w:cs="宋体"/>
          <w:b/>
          <w:bCs/>
          <w:color w:val="000000"/>
          <w:kern w:val="0"/>
          <w:sz w:val="52"/>
          <w:szCs w:val="52"/>
        </w:rPr>
        <w:t> </w:t>
      </w:r>
    </w:p>
    <w:p>
      <w:pPr>
        <w:widowControl/>
        <w:spacing w:before="100" w:beforeAutospacing="1" w:after="156"/>
        <w:ind w:firstLine="723"/>
        <w:jc w:val="center"/>
        <w:rPr>
          <w:rFonts w:ascii="宋体" w:hAnsi="宋体" w:cs="宋体"/>
          <w:color w:val="000000"/>
          <w:kern w:val="0"/>
          <w:sz w:val="27"/>
          <w:szCs w:val="27"/>
        </w:rPr>
      </w:pPr>
      <w:r>
        <w:rPr>
          <w:rFonts w:hint="eastAsia" w:ascii="宋体" w:hAnsi="宋体" w:cs="宋体"/>
          <w:b/>
          <w:bCs/>
          <w:color w:val="000000"/>
          <w:kern w:val="0"/>
          <w:sz w:val="36"/>
          <w:szCs w:val="36"/>
        </w:rPr>
        <w:t>仓储配送服务合同</w:t>
      </w:r>
    </w:p>
    <w:p>
      <w:pPr>
        <w:widowControl/>
        <w:spacing w:before="100" w:beforeAutospacing="1" w:after="156"/>
        <w:jc w:val="left"/>
        <w:rPr>
          <w:rFonts w:ascii="宋体" w:hAnsi="宋体" w:cs="宋体"/>
          <w:color w:val="000000"/>
          <w:kern w:val="0"/>
          <w:sz w:val="23"/>
          <w:szCs w:val="23"/>
        </w:rPr>
      </w:pPr>
      <w:r>
        <w:rPr>
          <w:rFonts w:hint="eastAsia" w:ascii="宋体" w:hAnsi="宋体" w:cs="宋体"/>
          <w:b/>
          <w:bCs/>
          <w:color w:val="000000"/>
          <w:kern w:val="0"/>
          <w:sz w:val="23"/>
          <w:szCs w:val="23"/>
        </w:rPr>
        <w:t> </w:t>
      </w:r>
    </w:p>
    <w:p>
      <w:pPr>
        <w:widowControl/>
        <w:spacing w:before="100" w:beforeAutospacing="1" w:after="156"/>
        <w:jc w:val="left"/>
        <w:rPr>
          <w:rFonts w:ascii="宋体" w:hAnsi="宋体" w:cs="宋体"/>
          <w:color w:val="000000"/>
          <w:kern w:val="0"/>
          <w:sz w:val="23"/>
          <w:szCs w:val="23"/>
        </w:rPr>
      </w:pPr>
      <w:r>
        <w:rPr>
          <w:rFonts w:hint="eastAsia" w:ascii="宋体" w:hAnsi="宋体" w:cs="宋体"/>
          <w:b/>
          <w:bCs/>
          <w:color w:val="000000"/>
          <w:kern w:val="0"/>
          <w:sz w:val="23"/>
          <w:szCs w:val="23"/>
        </w:rPr>
        <w:t> </w:t>
      </w:r>
    </w:p>
    <w:p>
      <w:pPr>
        <w:widowControl/>
        <w:spacing w:before="100" w:beforeAutospacing="1" w:after="156"/>
        <w:jc w:val="left"/>
        <w:rPr>
          <w:rFonts w:ascii="宋体" w:hAnsi="宋体" w:cs="宋体"/>
          <w:color w:val="000000"/>
          <w:kern w:val="0"/>
          <w:sz w:val="23"/>
          <w:szCs w:val="23"/>
        </w:rPr>
      </w:pPr>
      <w:r>
        <w:rPr>
          <w:rFonts w:hint="eastAsia" w:ascii="宋体" w:hAnsi="宋体" w:cs="宋体"/>
          <w:color w:val="000000"/>
          <w:kern w:val="0"/>
          <w:sz w:val="23"/>
          <w:szCs w:val="23"/>
        </w:rPr>
        <w:t>甲方（委托方）： </w:t>
      </w:r>
    </w:p>
    <w:p>
      <w:pPr>
        <w:widowControl/>
        <w:spacing w:before="100" w:beforeAutospacing="1" w:after="156"/>
        <w:jc w:val="left"/>
        <w:rPr>
          <w:rFonts w:ascii="宋体" w:hAnsi="宋体" w:cs="宋体"/>
          <w:color w:val="000000"/>
          <w:kern w:val="0"/>
          <w:sz w:val="23"/>
          <w:szCs w:val="23"/>
        </w:rPr>
      </w:pPr>
      <w:r>
        <w:rPr>
          <w:rFonts w:hint="eastAsia" w:ascii="宋体" w:hAnsi="宋体" w:cs="宋体"/>
          <w:color w:val="000000"/>
          <w:kern w:val="0"/>
          <w:sz w:val="23"/>
          <w:szCs w:val="23"/>
        </w:rPr>
        <w:t>乙方（受托方）： </w:t>
      </w:r>
    </w:p>
    <w:p>
      <w:pPr>
        <w:widowControl/>
        <w:spacing w:before="100" w:beforeAutospacing="1" w:after="156"/>
        <w:jc w:val="left"/>
        <w:rPr>
          <w:rFonts w:ascii="宋体" w:hAnsi="宋体" w:cs="宋体"/>
          <w:color w:val="000000"/>
          <w:kern w:val="0"/>
          <w:sz w:val="23"/>
          <w:szCs w:val="23"/>
        </w:rPr>
      </w:pPr>
      <w:r>
        <w:rPr>
          <w:rStyle w:val="30"/>
          <w:lang w:val="zh-CN"/>
        </w:rPr>
        <w:commentReference w:id="0"/>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本协议由乙方代表“京东物流”与</w:t>
      </w:r>
      <w:commentRangeStart w:id="1"/>
      <w:r>
        <w:rPr>
          <w:rFonts w:hint="eastAsia" w:ascii="宋体" w:hAnsi="宋体" w:cs="宋体"/>
          <w:color w:val="000000"/>
          <w:kern w:val="0"/>
          <w:sz w:val="23"/>
          <w:szCs w:val="23"/>
        </w:rPr>
        <w:t>甲方</w:t>
      </w:r>
      <w:commentRangeEnd w:id="1"/>
      <w:r>
        <w:rPr>
          <w:rStyle w:val="30"/>
          <w:lang w:val="zh-CN"/>
        </w:rPr>
        <w:commentReference w:id="1"/>
      </w:r>
      <w:r>
        <w:rPr>
          <w:rFonts w:hint="eastAsia" w:ascii="宋体" w:hAnsi="宋体" w:cs="宋体"/>
          <w:color w:val="000000"/>
          <w:kern w:val="0"/>
          <w:sz w:val="23"/>
          <w:szCs w:val="23"/>
        </w:rPr>
        <w:t>签署。乙方及其旗下子公司、分公司、分支机构或相关关联公司统称为“京东物流”，本协议中提及的应由乙方或“京东物流”行使的权利和履行的义务，由“京东物流”内部负责业务范围的公司分别履行，甲方向“京东物流”内部对应业务范围的公司就其服务承担相应责任，出现任何违约、赔偿、补偿等纠纷或争议均由“京东物流”内部对应业务范围的公司与甲方分别处理并解决，对此乙方各关联公司之间互相不承担任何连带责任。</w:t>
      </w:r>
      <w:bookmarkStart w:id="0" w:name="_Hlk151479333"/>
      <w:r>
        <w:rPr>
          <w:rFonts w:hint="eastAsia" w:ascii="宋体" w:hAnsi="宋体" w:cs="宋体"/>
          <w:color w:val="000000"/>
          <w:kern w:val="0"/>
          <w:sz w:val="23"/>
          <w:szCs w:val="23"/>
        </w:rPr>
        <w:t>关联公司是指对于任何一方而言，是指其通过股份、股权或任何其他安排直接或间接控制的、被其直接或间接控制或与之同受第三方直接或间接控制的实体或人士，以及与该非自然人实体具有其他关联的实体或人士，其中“控制”是指在该实体中直接或间接拥有超过</w:t>
      </w:r>
      <w:r>
        <w:rPr>
          <w:rFonts w:ascii="宋体" w:hAnsi="宋体" w:cs="宋体"/>
          <w:color w:val="000000"/>
          <w:kern w:val="0"/>
          <w:sz w:val="23"/>
          <w:szCs w:val="23"/>
        </w:rPr>
        <w:t>50%</w:t>
      </w:r>
      <w:r>
        <w:rPr>
          <w:rFonts w:hint="eastAsia" w:ascii="宋体" w:hAnsi="宋体" w:cs="宋体"/>
          <w:color w:val="000000"/>
          <w:kern w:val="0"/>
          <w:sz w:val="23"/>
          <w:szCs w:val="23"/>
        </w:rPr>
        <w:t>的股权、权益或表决权，或有权委派或选举该实体的管理层或多数董事，或通过证券、协议、信托或其他形式而有能力直接或间接影响该实体的经营和政策。</w:t>
      </w:r>
      <w:bookmarkEnd w:id="0"/>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依照《中华人民共和国民法典》及其他有关法律、法规的规定，甲、乙双方在平等、自愿、协商一致的基础上，就甲方委托乙方提供物流服务有关事宜达成如下协议：</w:t>
      </w:r>
      <w:bookmarkStart w:id="11" w:name="_GoBack"/>
      <w:bookmarkEnd w:id="11"/>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1.定义</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1.1标准正向配送服务：是指乙方接受甲方委托后，将甲方货物从甲方指定提货地运送至甲方指定目的地的物流服务。</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1.2标准逆向配送服务：是指乙方接受甲方委托后，由乙方将拒收或退回的甲方货物从甲方指定提货地运送至甲方指定目的地的物流服务。</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1.3指定提货/目的地：是指甲方指定并告知乙方提取/送到货物的地址，该地址须在乙方对外公布服务城市覆盖的行政区域内。</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1.4甲方货物/货物：是指由甲方交付并委托乙方根据本合同及项下补充协议、附件提供物流服务的物品。</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1.5甲方货物实际价值：是指货物本身的成本价格或损失发生时货物或同类货物的成本价值，不包括基于商品可能获得的收益、利润、实际用途、市场机会等任何直接、间接损失，或特殊商业价值等。</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1.6库存周转天数的计算方式=（自然月每天</w:t>
      </w:r>
      <w:commentRangeStart w:id="2"/>
      <w:r>
        <w:rPr>
          <w:rFonts w:hint="eastAsia" w:cs="宋体" w:asciiTheme="minorEastAsia" w:hAnsiTheme="minorEastAsia" w:eastAsiaTheme="minorEastAsia"/>
          <w:color w:val="000000"/>
          <w:kern w:val="0"/>
          <w:sz w:val="23"/>
          <w:szCs w:val="23"/>
        </w:rPr>
        <w:t>零点</w:t>
      </w:r>
      <w:commentRangeEnd w:id="2"/>
      <w:r>
        <w:rPr>
          <w:rStyle w:val="30"/>
          <w:lang w:val="zh-CN"/>
        </w:rPr>
        <w:commentReference w:id="2"/>
      </w:r>
      <w:r>
        <w:rPr>
          <w:rFonts w:hint="eastAsia" w:ascii="宋体" w:hAnsi="宋体" w:cs="宋体"/>
          <w:color w:val="000000"/>
          <w:kern w:val="0"/>
          <w:sz w:val="23"/>
          <w:szCs w:val="23"/>
        </w:rPr>
        <w:t>库存全部甲方货物件数数量总和）/（自然月每天销售出库甲方货物件数数量总和）；库存甲方货物件数的统计包含其他出入库（逆向）上架的甲方货物，销售出库甲方货物件数以乙方系统中记录的甲方货物订单生产状态为复核环节（含）后的甲方货物件数为准。</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2.服务内容</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乙方可向甲方提供如下类型的服务，甲方实际选用的服务及产品以乙方系统记录的订单为准：</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2.1快递服务：乙方按甲方的要求将甲方委托物品，根据甲方提供的送货地址在约定的时效内安全送达指定地点及指定收件人，含标准正向配送服务、标准逆向配送服务等服务内容。</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2.2仓储服务：乙方根据甲方的需求为甲方提供仓储管理服务解决方案，具体服务包含入库验收、货物存储、订单生产、其他出入库、退仓处理等服务。</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2.3增值服务：乙方在为甲方提供上述物流服务时，根据甲方要求而提供的收取一定费用的附加服务</w:t>
      </w:r>
      <w:r>
        <w:rPr>
          <w:rFonts w:ascii="宋体" w:hAnsi="宋体" w:cs="宋体"/>
          <w:color w:val="000000"/>
          <w:kern w:val="0"/>
          <w:sz w:val="23"/>
          <w:szCs w:val="23"/>
        </w:rPr>
        <w:t>(</w:t>
      </w:r>
      <w:commentRangeStart w:id="3"/>
      <w:r>
        <w:rPr>
          <w:rFonts w:hint="eastAsia" w:ascii="宋体" w:hAnsi="宋体" w:cs="宋体"/>
          <w:sz w:val="23"/>
          <w:szCs w:val="23"/>
        </w:rPr>
        <w:t>包括且不仅限于装卸、贴码、包装耗材等附加服务。</w:t>
      </w:r>
      <w:commentRangeEnd w:id="3"/>
      <w:r>
        <w:rPr>
          <w:rStyle w:val="30"/>
          <w:lang w:val="zh-CN"/>
        </w:rPr>
        <w:commentReference w:id="3"/>
      </w:r>
      <w:r>
        <w:rPr>
          <w:rFonts w:ascii="宋体" w:hAnsi="宋体" w:cs="宋体"/>
          <w:color w:val="000000"/>
          <w:kern w:val="0"/>
          <w:sz w:val="23"/>
          <w:szCs w:val="23"/>
        </w:rPr>
        <w:t>)</w:t>
      </w:r>
      <w:r>
        <w:rPr>
          <w:rFonts w:hint="eastAsia" w:ascii="宋体" w:hAnsi="宋体" w:cs="宋体"/>
          <w:color w:val="000000"/>
          <w:kern w:val="0"/>
          <w:sz w:val="23"/>
          <w:szCs w:val="23"/>
        </w:rPr>
        <w:t>。</w:t>
      </w:r>
    </w:p>
    <w:p>
      <w:pPr>
        <w:widowControl/>
        <w:spacing w:before="100" w:beforeAutospacing="1" w:after="156"/>
        <w:ind w:firstLine="460"/>
        <w:jc w:val="left"/>
        <w:rPr>
          <w:rFonts w:ascii="宋体" w:hAnsi="宋体" w:cs="宋体"/>
          <w:b/>
          <w:color w:val="000000"/>
          <w:kern w:val="0"/>
          <w:sz w:val="23"/>
          <w:szCs w:val="23"/>
        </w:rPr>
      </w:pPr>
      <w:r>
        <w:rPr>
          <w:rFonts w:ascii="宋体" w:hAnsi="宋体" w:cs="宋体"/>
          <w:b/>
          <w:color w:val="000000"/>
          <w:kern w:val="0"/>
          <w:sz w:val="23"/>
          <w:szCs w:val="23"/>
        </w:rPr>
        <w:t>2.4乙方提供的具体物流服务产品及内容，以本合同约定及</w:t>
      </w:r>
      <w:commentRangeStart w:id="4"/>
      <w:commentRangeStart w:id="5"/>
      <w:r>
        <w:rPr>
          <w:rFonts w:hint="eastAsia" w:ascii="宋体" w:hAnsi="宋体" w:cs="宋体"/>
          <w:b/>
          <w:color w:val="000000"/>
          <w:kern w:val="0"/>
          <w:sz w:val="23"/>
          <w:szCs w:val="23"/>
        </w:rPr>
        <w:t>京东物流官网</w:t>
      </w:r>
      <w:commentRangeEnd w:id="4"/>
      <w:r>
        <w:rPr>
          <w:rStyle w:val="30"/>
          <w:b/>
          <w:lang w:val="zh-CN"/>
        </w:rPr>
        <w:commentReference w:id="4"/>
      </w:r>
      <w:commentRangeEnd w:id="5"/>
      <w:r>
        <w:rPr>
          <w:rStyle w:val="30"/>
          <w:lang w:val="zh-CN"/>
        </w:rPr>
        <w:commentReference w:id="5"/>
      </w:r>
      <w:r>
        <w:rPr>
          <w:rFonts w:hint="eastAsia" w:ascii="宋体" w:hAnsi="宋体" w:cs="宋体"/>
          <w:b/>
          <w:color w:val="000000"/>
          <w:kern w:val="0"/>
          <w:sz w:val="23"/>
          <w:szCs w:val="23"/>
        </w:rPr>
        <w:t>展示服务内容为准（</w:t>
      </w:r>
      <w:r>
        <w:rPr>
          <w:rFonts w:ascii="宋体" w:hAnsi="宋体" w:cs="宋体"/>
          <w:b/>
          <w:color w:val="000000"/>
          <w:kern w:val="0"/>
          <w:sz w:val="23"/>
          <w:szCs w:val="23"/>
        </w:rPr>
        <w:t>https://www.jdl.com/serviceDetails/</w:t>
      </w:r>
      <w:r>
        <w:rPr>
          <w:rFonts w:hint="eastAsia" w:ascii="宋体" w:hAnsi="宋体" w:cs="宋体"/>
          <w:b/>
          <w:color w:val="000000"/>
          <w:kern w:val="0"/>
          <w:sz w:val="23"/>
          <w:szCs w:val="23"/>
        </w:rPr>
        <w:t>），双方另有约定的，遵从约定。</w:t>
      </w:r>
    </w:p>
    <w:p>
      <w:pPr>
        <w:widowControl/>
        <w:spacing w:before="100" w:beforeAutospacing="1" w:after="156"/>
        <w:ind w:left="420"/>
        <w:jc w:val="left"/>
        <w:rPr>
          <w:rFonts w:ascii="宋体" w:hAnsi="宋体" w:cs="宋体"/>
          <w:color w:val="000000"/>
          <w:kern w:val="0"/>
          <w:sz w:val="23"/>
          <w:szCs w:val="23"/>
        </w:rPr>
      </w:pPr>
      <w:r>
        <w:rPr>
          <w:rFonts w:hint="eastAsia" w:ascii="宋体" w:hAnsi="宋体" w:cs="宋体"/>
          <w:color w:val="000000"/>
          <w:kern w:val="0"/>
          <w:sz w:val="23"/>
          <w:szCs w:val="23"/>
        </w:rPr>
        <w:t>2.5甲方货物要求：</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2.5.1甲方应确保委托乙方提供物流服务的货物不属于一切法律法规禁止及限制寄递和/或存储的货物，不包含/夹带危险品货物，无乙方明确告知无法提供服务的物品，具体途径包括不限于京东物流官网公示、合同约定、邮件、系统等书面方式。如甲方违反上述约定给乙方造成损失的，应当全额赔偿。</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2.5.2除法律法规的强制性规定以外，乙方对于货物的安全、质量、环保、权利瑕疵等不承担保证责任，甲方需要确保货物符合下列要求，否则，造成的所有损失由甲方负责赔偿：</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（1）符合国家法律法规的要求，不属于禁止生产、销售、传播的货物。</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（2）符合国家规定的或者与第三方约定的质量、安全、环保等标准。</w:t>
      </w:r>
    </w:p>
    <w:p>
      <w:pPr>
        <w:widowControl/>
        <w:spacing w:before="100" w:beforeAutospacing="1" w:after="156"/>
        <w:ind w:firstLine="460"/>
        <w:jc w:val="left"/>
        <w:textAlignment w:val="top"/>
        <w:rPr>
          <w:rFonts w:ascii="宋体" w:hAnsi="宋体" w:cs="宋体"/>
          <w:color w:val="000000"/>
          <w:kern w:val="0"/>
          <w:sz w:val="23"/>
          <w:szCs w:val="23"/>
        </w:rPr>
      </w:pPr>
      <w:r>
        <w:rPr>
          <w:rFonts w:hint="eastAsia" w:ascii="宋体" w:hAnsi="宋体" w:cs="宋体"/>
          <w:color w:val="000000"/>
          <w:kern w:val="0"/>
          <w:sz w:val="23"/>
          <w:szCs w:val="23"/>
        </w:rPr>
        <w:t>（3）货物不会造成收货人或其他第三方人身或财产的损害，也没有侵犯任何第三方的知识产权。</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3.甲方的权利和义务：</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3.1甲方应如实告知乙方货物内容、名称、性质、数量等资料，准确、真实填写乙方运单之各项内容，包括但不限于：选择付款的方式和服务项目、重量、收件人、寄件人的名称、地址、联系电话、服务类型（常温温度在25℃左右、控温介于10℃至25℃、冷藏介于0℃至5℃、冷冻介于-18℃至-12℃、深冷小于-18℃等）等资料。</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3.2甲方同意并理解，在乙方提供物流服务的过程中，存在某些非乙方可控制的挤压、冲撞等影响安全的因素，甲方须在交付货物前根据商品的实际状况，积极采取妥善包装等手段，使相应风险得到最大程度的降低。对于因特殊物流属性需提供特殊存储、配送服务的商品，例如易碎易损、异味、隐私商品、高值商品等，甲方须提供充分的防破损、防漏、防爆等措施，使货物适用于安全存储及配送，并如实在货物交付乙方前的信息维护操作中向乙方进行明示，否则乙方将视其为普通商品提供物流服务，由此带来的甲乙双方的所有损失由甲方承担。同时，甲方需严格遵守有关法律政策规定，使用符合要求的快件封装用品和胶带的，不得违规使用禁止及限制使用的封装材料。</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3.3甲方货物需要办理审批、检验等手续的，甲方应当将办理完有关手续的证明文件提交乙方，如因甲方未提供相应的手续证明文件而产生的损失由甲方承担。</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3.4乙方收货及对于货物外包装的检查不代表已经对甲方相应批次的货物明细完成验收，外包装完好以目的地确认的验收明细为准，若产生多货、少货和混货等情况，责任由甲方承担。</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3.5甲方要更改/取消运单时，需要提前在乙方系统做系统信息更改或取消，如未能提前通知乙方，乙方已实际提供该项服务，则按照系统记录的体积、重量、数量和服务内容等信息计算相关服务费用并由甲方承担。</w:t>
      </w:r>
    </w:p>
    <w:p>
      <w:pPr>
        <w:widowControl/>
        <w:spacing w:before="100" w:beforeAutospacing="1" w:after="156"/>
        <w:ind w:firstLine="460"/>
        <w:jc w:val="left"/>
        <w:textAlignment w:val="top"/>
        <w:rPr>
          <w:rFonts w:ascii="宋体" w:hAnsi="宋体" w:cs="宋体"/>
          <w:color w:val="000000"/>
          <w:kern w:val="0"/>
          <w:sz w:val="23"/>
          <w:szCs w:val="23"/>
        </w:rPr>
      </w:pPr>
      <w:r>
        <w:rPr>
          <w:rFonts w:hint="eastAsia" w:ascii="宋体" w:hAnsi="宋体" w:cs="宋体"/>
          <w:color w:val="000000"/>
          <w:kern w:val="0"/>
          <w:sz w:val="23"/>
          <w:szCs w:val="23"/>
        </w:rPr>
        <w:t>3.6甲方的员工为甲方交付物品或者接收物品的，该行为视为甲方授权行为，对甲方有法律约束力。甲方不能以未经公司盖章或指定代表签字为由，否认甲方员工代为交付物品或者接收物品之行为。甲方应明确告知其员工有关本合同的各项内容，以促使其员工了解本合同规定的权利义务和注意事项，并按合同要求行使甲方权利及履行甲方合同义务。</w:t>
      </w:r>
    </w:p>
    <w:p>
      <w:pPr>
        <w:widowControl/>
        <w:spacing w:before="100" w:beforeAutospacing="1" w:after="156"/>
        <w:ind w:firstLine="460"/>
        <w:jc w:val="left"/>
        <w:textAlignment w:val="top"/>
        <w:rPr>
          <w:rFonts w:ascii="宋体" w:hAnsi="宋体" w:cs="宋体"/>
          <w:color w:val="000000"/>
          <w:kern w:val="0"/>
          <w:sz w:val="23"/>
          <w:szCs w:val="23"/>
        </w:rPr>
      </w:pPr>
      <w:r>
        <w:rPr>
          <w:rFonts w:hint="eastAsia" w:ascii="宋体" w:hAnsi="宋体" w:cs="宋体"/>
          <w:color w:val="000000"/>
          <w:kern w:val="0"/>
          <w:sz w:val="23"/>
          <w:szCs w:val="23"/>
        </w:rPr>
        <w:t>3.7如甲方同收件方（或相对第三方）之间存在买卖等商业交易关系，且货物属于该商业交易标的物的，则甲方在交付货物前，需要将乙方承运过程中可能存在的风险、赔偿标准等相关事宜明确告知收件方（或相对第三方），并彼此就商业交易相关的损失赔偿和责任承担方式达成共识，如物流服务过程中发生货物的毁损、灭失的，乙方将按照本合同约定的标准向甲方承担赔偿责任。</w:t>
      </w:r>
    </w:p>
    <w:p>
      <w:pPr>
        <w:widowControl/>
        <w:spacing w:before="100" w:beforeAutospacing="1" w:after="156"/>
        <w:ind w:firstLine="460"/>
        <w:jc w:val="left"/>
        <w:textAlignment w:val="top"/>
        <w:rPr>
          <w:rFonts w:ascii="宋体" w:hAnsi="宋体" w:cs="宋体"/>
          <w:color w:val="000000"/>
          <w:kern w:val="0"/>
          <w:sz w:val="23"/>
          <w:szCs w:val="23"/>
        </w:rPr>
      </w:pPr>
      <w:r>
        <w:rPr>
          <w:rFonts w:hint="eastAsia" w:ascii="宋体" w:hAnsi="宋体" w:cs="宋体"/>
          <w:color w:val="000000"/>
          <w:kern w:val="0"/>
          <w:sz w:val="23"/>
          <w:szCs w:val="23"/>
        </w:rPr>
        <w:t>3.8收货人有权在收货前拆开物流包装检验货物，对货物外观、数量等进行检验。如收货人在拆封后拒收或者拒绝付款的，甲方不得以曾拆开包装为由拒绝收回货物，亦不得以此为由要求乙方承担任何赔偿或违约责任。同时，乙方按甲方要求逆向退回的，由甲方承担退回的运费。</w:t>
      </w:r>
    </w:p>
    <w:p>
      <w:pPr>
        <w:widowControl/>
        <w:spacing w:before="100" w:beforeAutospacing="1" w:after="156"/>
        <w:ind w:firstLine="460"/>
        <w:jc w:val="left"/>
        <w:textAlignment w:val="top"/>
        <w:rPr>
          <w:rFonts w:ascii="宋体" w:hAnsi="宋体" w:cs="宋体"/>
          <w:color w:val="000000"/>
          <w:kern w:val="0"/>
          <w:sz w:val="23"/>
          <w:szCs w:val="23"/>
        </w:rPr>
      </w:pPr>
      <w:r>
        <w:rPr>
          <w:rFonts w:hint="eastAsia" w:ascii="宋体" w:hAnsi="宋体" w:cs="宋体"/>
          <w:color w:val="000000"/>
          <w:kern w:val="0"/>
          <w:sz w:val="23"/>
          <w:szCs w:val="23"/>
        </w:rPr>
        <w:t>3.9甲方有义务按照合同约定向乙方支付本合同项下所产生的物流服务费用及相关款项。甲方不得以理赔尚未结束、或存在其他纠纷为由拖延支付、拒绝支付或擅自从应付服务费中直接扣除任何款项。</w:t>
      </w:r>
    </w:p>
    <w:p>
      <w:pPr>
        <w:widowControl/>
        <w:spacing w:before="100" w:beforeAutospacing="1" w:after="156"/>
        <w:ind w:firstLine="460"/>
        <w:jc w:val="left"/>
        <w:textAlignment w:val="center"/>
        <w:rPr>
          <w:rFonts w:ascii="宋体" w:hAnsi="宋体" w:cs="宋体"/>
          <w:color w:val="000000"/>
          <w:kern w:val="0"/>
          <w:sz w:val="23"/>
          <w:szCs w:val="23"/>
        </w:rPr>
      </w:pPr>
      <w:r>
        <w:rPr>
          <w:rFonts w:hint="eastAsia" w:ascii="宋体" w:hAnsi="宋体" w:cs="宋体"/>
          <w:color w:val="000000"/>
          <w:kern w:val="0"/>
          <w:sz w:val="23"/>
          <w:szCs w:val="23"/>
        </w:rPr>
        <w:t>3.10任何情形下甲方、甲方收货人等不得扣留乙方车辆、货物及其他物品，由于扣留车辆、货物而造成的损失，应由甲方承担；乙方有权立即解除本合同并不承担任何违约责任，由此给乙方造成损失的，甲方应当予以赔偿。</w:t>
      </w:r>
    </w:p>
    <w:p>
      <w:pPr>
        <w:widowControl/>
        <w:spacing w:before="100" w:beforeAutospacing="1" w:after="156"/>
        <w:ind w:firstLine="460"/>
        <w:jc w:val="left"/>
        <w:textAlignment w:val="center"/>
        <w:rPr>
          <w:rFonts w:ascii="宋体" w:hAnsi="宋体" w:cs="宋体"/>
          <w:b/>
          <w:color w:val="000000"/>
          <w:kern w:val="0"/>
          <w:sz w:val="23"/>
          <w:szCs w:val="23"/>
        </w:rPr>
      </w:pPr>
      <w:commentRangeStart w:id="6"/>
      <w:r>
        <w:rPr>
          <w:rFonts w:hint="eastAsia" w:ascii="宋体" w:hAnsi="宋体" w:cs="宋体"/>
          <w:b/>
          <w:color w:val="000000"/>
          <w:kern w:val="0"/>
          <w:sz w:val="23"/>
          <w:szCs w:val="23"/>
        </w:rPr>
        <w:t>3.11合作期间甲方如需使用乙方商标，需严格按照乙方许可并提供的商标图样或在商标局申请注册的商标图样、乙方规定（详见京东物流官方网站服务细则）使用本商标。未经乙方书面同意，甲方不得对商标图样及对应使用的具体服务项目做任何修改，包括但不限于简化、简称、改变字体、图样、颜色等，否则视为对乙方商标的侵权。</w:t>
      </w:r>
      <w:commentRangeEnd w:id="6"/>
      <w:r>
        <w:rPr>
          <w:rStyle w:val="30"/>
          <w:b/>
          <w:lang w:val="zh-CN"/>
        </w:rPr>
        <w:commentReference w:id="6"/>
      </w:r>
    </w:p>
    <w:p>
      <w:pPr>
        <w:widowControl/>
        <w:spacing w:before="100" w:beforeAutospacing="1" w:after="156"/>
        <w:ind w:firstLine="460"/>
        <w:jc w:val="left"/>
        <w:textAlignment w:val="center"/>
        <w:rPr>
          <w:rFonts w:ascii="宋体" w:hAnsi="宋体" w:cs="宋体"/>
          <w:b/>
          <w:color w:val="000000"/>
          <w:kern w:val="0"/>
          <w:sz w:val="23"/>
          <w:szCs w:val="23"/>
        </w:rPr>
      </w:pPr>
      <w:commentRangeStart w:id="7"/>
      <w:r>
        <w:rPr>
          <w:rFonts w:ascii="宋体" w:hAnsi="宋体" w:cs="宋体"/>
          <w:b/>
          <w:color w:val="000000"/>
          <w:kern w:val="0"/>
          <w:sz w:val="23"/>
          <w:szCs w:val="23"/>
        </w:rPr>
        <w:t>3.12甲方应妥善保管登录乙方系统的账户名称及账户密码，所有通过甲方的账户名称及密码登录系统进行操作的行为均视为甲方或甲方授权的行为，并对相应行为承担全部责任。甲方已充分知悉账户名称及密码的重要性及因保管不善导致账户名和密码被泄露而造成的所有后果，并承担所有责任。</w:t>
      </w:r>
      <w:commentRangeEnd w:id="7"/>
      <w:r>
        <w:rPr>
          <w:rStyle w:val="30"/>
          <w:lang w:val="zh-CN"/>
        </w:rPr>
        <w:commentReference w:id="7"/>
      </w:r>
    </w:p>
    <w:p>
      <w:pPr>
        <w:widowControl/>
        <w:spacing w:before="100" w:beforeAutospacing="1" w:after="156"/>
        <w:ind w:firstLine="460"/>
        <w:jc w:val="left"/>
        <w:textAlignment w:val="center"/>
        <w:rPr>
          <w:rFonts w:ascii="宋体" w:hAnsi="宋体" w:cs="宋体"/>
          <w:color w:val="000000"/>
          <w:kern w:val="0"/>
          <w:sz w:val="23"/>
          <w:szCs w:val="23"/>
        </w:rPr>
      </w:pPr>
      <w:r>
        <w:rPr>
          <w:rFonts w:hint="eastAsia" w:ascii="宋体" w:hAnsi="宋体" w:cs="宋体"/>
          <w:color w:val="000000"/>
          <w:kern w:val="0"/>
          <w:sz w:val="23"/>
          <w:szCs w:val="23"/>
        </w:rPr>
        <w:t>3.13甲方应严格遵照乙方在物流服务中已告知的有关操作流程、操作方式、操作标准的规定，否则，甲方应负责赔偿给甲乙方及第三方造成的损失。</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4.乙方的权利和义务：</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4.1乙方按其公开承诺及双方约定的服务内容及标准向甲方提供物流服务，并向甲方收取对应的服务费用。</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4.2乙方对于甲方交付货物的安全、质量、环保、权利瑕疵等不承担保证责任。乙方在接收货物时有权检查甲方货物包装的安全性和完整性，发现不符合物流服务要求的货物时应及时通知甲方，要求甲方重新包装，否则，乙方有权拒收货物。</w:t>
      </w:r>
      <w:r>
        <w:rPr>
          <w:rFonts w:hint="eastAsia" w:ascii="宋体" w:hAnsi="宋体" w:cs="宋体"/>
          <w:color w:val="000000" w:themeColor="text1"/>
          <w:sz w:val="23"/>
          <w:szCs w:val="23"/>
          <w14:textFill>
            <w14:solidFill>
              <w14:schemeClr w14:val="tx1"/>
            </w14:solidFill>
          </w14:textFill>
        </w:rPr>
        <w:t>商品入仓后，乙方操作出库时有权按照乙方运营出库打包标准进行打包处理，并收取相应的内外包装耗材使用费。如甲方不同意乙方的出库标准，可与乙方进行沟通共识，如甲方要求的包装标准高于乙方标准，甲方需承担包装升级所产生的耗材费用，如甲方要求的包装标准低于乙方标准，由此产生的与物流相关的货物存放、运输过程中的货物毁损风险需由甲方承担，乙方对此货损不予赔付。</w:t>
      </w:r>
    </w:p>
    <w:p>
      <w:pPr>
        <w:widowControl/>
        <w:spacing w:before="100" w:beforeAutospacing="1" w:after="156"/>
        <w:ind w:firstLine="460"/>
        <w:jc w:val="left"/>
        <w:textAlignment w:val="baseline"/>
        <w:rPr>
          <w:rFonts w:ascii="宋体" w:hAnsi="宋体" w:cs="宋体"/>
          <w:b/>
          <w:color w:val="000000"/>
          <w:kern w:val="0"/>
          <w:sz w:val="23"/>
          <w:szCs w:val="23"/>
        </w:rPr>
      </w:pPr>
      <w:r>
        <w:rPr>
          <w:rFonts w:hint="eastAsia" w:ascii="宋体" w:hAnsi="宋体" w:cs="宋体"/>
          <w:color w:val="000000"/>
          <w:kern w:val="0"/>
          <w:sz w:val="23"/>
          <w:szCs w:val="23"/>
        </w:rPr>
        <w:t>4.3甲方委托乙方配送的货物因甲方及收货人原因无法妥投的，包括但不限于收货人信息填写不明或错误、乙方联系不到收货人、收货人拒收货物或拒付应付的费用等，且甲方在乙方通知载明的时限内未给出明确处理意见或乙方无法联系到甲方时，乙方有权将货物退回到甲方处理。</w:t>
      </w:r>
      <w:commentRangeStart w:id="8"/>
      <w:r>
        <w:rPr>
          <w:rFonts w:hint="eastAsia" w:ascii="宋体" w:hAnsi="宋体" w:cs="宋体"/>
          <w:b/>
          <w:color w:val="000000"/>
          <w:kern w:val="0"/>
          <w:sz w:val="23"/>
          <w:szCs w:val="23"/>
        </w:rPr>
        <w:t>货物退回后，如甲方在乙方发出提货通知载明期限内拒不领取退货的，乙方将按照《无法投递又无法退回快件管理规定》进行处理。</w:t>
      </w:r>
      <w:commentRangeEnd w:id="8"/>
      <w:r>
        <w:rPr>
          <w:rStyle w:val="30"/>
          <w:lang w:val="zh-CN"/>
        </w:rPr>
        <w:commentReference w:id="8"/>
      </w:r>
    </w:p>
    <w:p>
      <w:pPr>
        <w:widowControl/>
        <w:spacing w:before="100" w:beforeAutospacing="1" w:after="156"/>
        <w:ind w:firstLine="460"/>
        <w:jc w:val="left"/>
        <w:textAlignment w:val="baseline"/>
        <w:rPr>
          <w:rFonts w:ascii="宋体" w:hAnsi="宋体" w:cs="宋体"/>
          <w:color w:val="000000"/>
          <w:kern w:val="0"/>
          <w:sz w:val="23"/>
          <w:szCs w:val="23"/>
        </w:rPr>
      </w:pPr>
      <w:r>
        <w:rPr>
          <w:rFonts w:hint="eastAsia" w:ascii="宋体" w:hAnsi="宋体" w:cs="宋体"/>
          <w:color w:val="000000"/>
          <w:kern w:val="0"/>
          <w:sz w:val="23"/>
          <w:szCs w:val="23"/>
        </w:rPr>
        <w:t>4.4甲方委托乙方配送的拒收或退回的货物数量以乙方信息系统中记录数据为准，正向及逆向所产生的物流服务费由甲方承担。</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4.5乙方提供仓储类服务的，甲方通过乙方指定的管理平台向乙方下达仓储和配送服务需求并经乙方接受后，若甲方需取消或变更需求，应及时通知乙方，对于乙方在收到通知前已提供服务内容，乙方有权按相应的服务项目向甲方进行收费，需求状态以乙方系统记录为准。</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4.6乙方提供仓储类服务的，甲方将拟入库货物送达甲方指定的乙方仓库后，乙方有权根据业务需要，现场排定入库收货作业的顺序并有权按照乙方货物入库标准进行验收（注：乙方仅就拟入库甲方货物进行外观抽查验收，对于货物的实际价值、质量等以及销售包装内是否含实物不负有审核的能力与义务），对于验收不符合标准的甲方货物乙方有权拒收并退还甲方，由甲方负责自行安排提取拒收物品。因甲方未及时提取导致的货物毁损，乙方不承担任何责任。</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4.7乙方有权对甲方提供的货物销售及物流外包装信息内容进行审查，对于外包装出现有损乙方的负面信息的，乙方有权拒收处理。</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4.8出于安全及法律法规的要求，乙方有权对配送的货物进行当场开箱验视及安全检查。免生疑问，乙方不会对因上述查验而导致的任何延误造成的损失负责。对禁寄及拒绝验视的货物，乙方有权不予收寄。</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4.10 乙方有权向甲方、收货人收取约定的物流服务费用。甲方或者收货人未按约定支付服务费用及相关款项的，乙方有权直接从甲方及其关联公司与乙方及乙方关联公司签署的任何协议的待结算款项中直接扣除，若不足以抵扣的，乙方有权就货物进行留置（留置期限为两个月，自欠费发生之日起计算），若留置期限届满甲方仍未付清相关费用的，乙方有权将货物进行变卖并优先受偿；若变卖所得价款仍不足以抵偿相关费用(包括但不限于未支付的服务费用、实现留置权的费用等)的，乙方仍有权要求甲方继续支付。</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4.11乙方有权将本合同及项下附件、补充协议中部分或全部权利、义务转移给乙方关联（包含协议控制）公司，亦有权将本合同及项下中服务项目全部或部分授权、转包给乙方指定的第三方执行，但会向甲方事先披露或通知。同时，乙方应确保乙方关联（包含协议控制）公司和/或乙方指定的第三方提供服务之质量。</w:t>
      </w:r>
    </w:p>
    <w:p>
      <w:pPr>
        <w:widowControl/>
        <w:spacing w:before="100" w:beforeAutospacing="1" w:after="156"/>
        <w:ind w:firstLine="460"/>
        <w:jc w:val="left"/>
        <w:rPr>
          <w:rFonts w:ascii="宋体" w:hAnsi="宋体" w:cs="宋体"/>
          <w:color w:val="000000"/>
          <w:kern w:val="0"/>
          <w:sz w:val="23"/>
          <w:szCs w:val="23"/>
        </w:rPr>
      </w:pP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5、服务费</w:t>
      </w:r>
    </w:p>
    <w:p>
      <w:pPr>
        <w:widowControl/>
        <w:spacing w:before="100" w:beforeAutospacing="1" w:after="156"/>
        <w:ind w:firstLine="460"/>
        <w:jc w:val="left"/>
        <w:rPr>
          <w:rFonts w:ascii="宋体" w:hAnsi="宋体" w:cs="宋体"/>
          <w:b/>
          <w:color w:val="000000"/>
          <w:kern w:val="0"/>
          <w:sz w:val="23"/>
          <w:szCs w:val="23"/>
        </w:rPr>
      </w:pPr>
      <w:commentRangeStart w:id="9"/>
      <w:r>
        <w:rPr>
          <w:rFonts w:ascii="宋体" w:hAnsi="宋体" w:cs="宋体"/>
          <w:b/>
          <w:color w:val="000000"/>
          <w:kern w:val="0"/>
          <w:sz w:val="23"/>
          <w:szCs w:val="23"/>
        </w:rPr>
        <w:t>5.1甲方同意按照京东物流官方网站上公布的标准价格向乙方支付服务费用，且认可乙方有权根据经营需要对</w:t>
      </w:r>
      <w:r>
        <w:rPr>
          <w:rFonts w:hint="eastAsia" w:ascii="宋体" w:hAnsi="宋体" w:cs="宋体"/>
          <w:b/>
          <w:color w:val="000000"/>
          <w:kern w:val="0"/>
          <w:sz w:val="23"/>
          <w:szCs w:val="23"/>
        </w:rPr>
        <w:t>官网价格进行调整，并按照最新价格进行结算。双方另有约定（如有）的除外。</w:t>
      </w:r>
      <w:commentRangeEnd w:id="9"/>
      <w:r>
        <w:rPr>
          <w:rStyle w:val="30"/>
          <w:lang w:val="zh-CN"/>
        </w:rPr>
        <w:commentReference w:id="9"/>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5.2快递服务以实际始发地至目的地进行收费，含逆向退回费用。</w:t>
      </w:r>
    </w:p>
    <w:p>
      <w:pPr>
        <w:widowControl/>
        <w:spacing w:before="100" w:beforeAutospacing="1" w:after="156"/>
        <w:ind w:firstLine="460"/>
        <w:jc w:val="left"/>
        <w:rPr>
          <w:rFonts w:ascii="宋体" w:hAnsi="宋体" w:cs="宋体"/>
          <w:b/>
          <w:color w:val="000000"/>
          <w:kern w:val="0"/>
          <w:sz w:val="23"/>
          <w:szCs w:val="23"/>
        </w:rPr>
      </w:pPr>
      <w:r>
        <w:rPr>
          <w:rFonts w:ascii="宋体" w:hAnsi="宋体" w:cs="宋体"/>
          <w:b/>
          <w:color w:val="000000"/>
          <w:kern w:val="0"/>
          <w:sz w:val="23"/>
          <w:szCs w:val="23"/>
        </w:rPr>
        <w:t>5.3春节、十一等法定节假日和“618”、“双十一”等购物</w:t>
      </w:r>
      <w:r>
        <w:rPr>
          <w:rFonts w:hint="eastAsia" w:ascii="宋体" w:hAnsi="宋体" w:cs="宋体"/>
          <w:b/>
          <w:color w:val="000000"/>
          <w:kern w:val="0"/>
          <w:sz w:val="23"/>
          <w:szCs w:val="23"/>
        </w:rPr>
        <w:t>节业务高峰期间需要提供服务的，乙方可能会加收附加服务费，具体收费标准以京东物流官网公布价格或双方另行约定（如有）为准。</w:t>
      </w:r>
    </w:p>
    <w:p>
      <w:pPr>
        <w:widowControl/>
        <w:spacing w:before="100" w:beforeAutospacing="1" w:after="156"/>
        <w:ind w:firstLine="460"/>
        <w:jc w:val="left"/>
        <w:rPr>
          <w:rFonts w:ascii="宋体" w:hAnsi="宋体" w:cs="宋体"/>
          <w:b/>
          <w:color w:val="000000"/>
          <w:kern w:val="0"/>
          <w:sz w:val="23"/>
          <w:szCs w:val="23"/>
        </w:rPr>
      </w:pPr>
      <w:r>
        <w:rPr>
          <w:rFonts w:ascii="宋体" w:hAnsi="宋体" w:cs="宋体"/>
          <w:b/>
          <w:color w:val="000000"/>
          <w:kern w:val="0"/>
          <w:sz w:val="23"/>
          <w:szCs w:val="23"/>
        </w:rPr>
        <w:t>5.4由于不可抗力等情况但需要继续提供服务的，乙方有权对不可抗力发生期间的服务收费标准进行调整，包括双方另行以补充协议等方式约定的各类收费标准及折扣标准，具体调整方案以京东</w:t>
      </w:r>
      <w:r>
        <w:rPr>
          <w:rFonts w:hint="eastAsia" w:ascii="宋体" w:hAnsi="宋体" w:cs="宋体"/>
          <w:b/>
          <w:color w:val="000000"/>
          <w:kern w:val="0"/>
          <w:sz w:val="23"/>
          <w:szCs w:val="23"/>
        </w:rPr>
        <w:t>物流官网公布为准。</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6、结算方式</w:t>
      </w:r>
    </w:p>
    <w:p>
      <w:pPr>
        <w:widowControl/>
        <w:spacing w:before="100" w:beforeAutospacing="1" w:after="156"/>
        <w:ind w:firstLine="460"/>
        <w:jc w:val="left"/>
        <w:rPr>
          <w:rFonts w:ascii="宋体" w:hAnsi="宋体" w:cs="宋体"/>
          <w:b/>
          <w:color w:val="000000"/>
          <w:kern w:val="0"/>
          <w:sz w:val="23"/>
          <w:szCs w:val="23"/>
        </w:rPr>
      </w:pPr>
      <w:commentRangeStart w:id="10"/>
      <w:bookmarkStart w:id="1" w:name="_Hlk149292740"/>
      <w:r>
        <w:rPr>
          <w:rFonts w:ascii="宋体" w:hAnsi="宋体" w:cs="宋体"/>
          <w:b/>
          <w:color w:val="000000"/>
          <w:kern w:val="0"/>
          <w:sz w:val="23"/>
          <w:szCs w:val="23"/>
        </w:rPr>
        <w:t>6.1乙方在每月10日前（法定节假日或乙方结算系统延迟时顺延）向甲方</w:t>
      </w:r>
      <w:bookmarkStart w:id="2" w:name="_Hlk149146636"/>
      <w:r>
        <w:rPr>
          <w:rFonts w:hint="eastAsia" w:ascii="宋体" w:hAnsi="宋体" w:cs="宋体"/>
          <w:b/>
          <w:color w:val="000000"/>
          <w:kern w:val="0"/>
          <w:sz w:val="23"/>
          <w:szCs w:val="23"/>
        </w:rPr>
        <w:t>通过商家工作台系统或本合同中约定的电子邮箱或短信形式</w:t>
      </w:r>
      <w:bookmarkEnd w:id="2"/>
      <w:r>
        <w:rPr>
          <w:rFonts w:hint="eastAsia" w:ascii="宋体" w:hAnsi="宋体" w:cs="宋体"/>
          <w:b/>
          <w:color w:val="000000"/>
          <w:kern w:val="0"/>
          <w:sz w:val="23"/>
          <w:szCs w:val="23"/>
        </w:rPr>
        <w:t>提供上一自然月内实际发生的物流服务费账单，甲方应于乙方提供账单之日起</w:t>
      </w:r>
      <w:r>
        <w:rPr>
          <w:rFonts w:ascii="宋体" w:hAnsi="宋体" w:cs="宋体"/>
          <w:b/>
          <w:color w:val="000000"/>
          <w:kern w:val="0"/>
          <w:sz w:val="23"/>
          <w:szCs w:val="23"/>
        </w:rPr>
        <w:t>5个自然日内完成账单确认。如甲方对账单持有异议，应自乙方送达账单之日起5个自然日内书面通知乙方</w:t>
      </w:r>
      <w:r>
        <w:rPr>
          <w:rFonts w:hint="eastAsia" w:ascii="宋体" w:hAnsi="宋体" w:cs="宋体"/>
          <w:b/>
          <w:color w:val="000000"/>
          <w:kern w:val="0"/>
          <w:sz w:val="23"/>
          <w:szCs w:val="23"/>
        </w:rPr>
        <w:t>并提供证据材料</w:t>
      </w:r>
      <w:r>
        <w:rPr>
          <w:rFonts w:ascii="宋体" w:hAnsi="宋体" w:cs="宋体"/>
          <w:b/>
          <w:color w:val="000000"/>
          <w:kern w:val="0"/>
          <w:sz w:val="23"/>
          <w:szCs w:val="23"/>
        </w:rPr>
        <w:t>，</w:t>
      </w:r>
      <w:commentRangeStart w:id="11"/>
      <w:r>
        <w:rPr>
          <w:rFonts w:ascii="宋体" w:hAnsi="宋体" w:cs="宋体"/>
          <w:b/>
          <w:color w:val="000000"/>
          <w:kern w:val="0"/>
          <w:sz w:val="23"/>
          <w:szCs w:val="23"/>
        </w:rPr>
        <w:t>，</w:t>
      </w:r>
      <w:commentRangeEnd w:id="11"/>
      <w:r>
        <w:rPr>
          <w:rStyle w:val="30"/>
          <w:lang w:val="zh-CN"/>
        </w:rPr>
        <w:commentReference w:id="11"/>
      </w:r>
      <w:r>
        <w:rPr>
          <w:rFonts w:ascii="宋体" w:hAnsi="宋体" w:cs="宋体"/>
          <w:b/>
          <w:color w:val="000000"/>
          <w:kern w:val="0"/>
          <w:sz w:val="23"/>
          <w:szCs w:val="23"/>
        </w:rPr>
        <w:t>甲方对乙方结算账单有异议，但无法提供证据证明乙方结算账单存在错误的，以乙方系统中的结算数据为准</w:t>
      </w:r>
      <w:commentRangeStart w:id="12"/>
      <w:r>
        <w:rPr>
          <w:rFonts w:hint="eastAsia" w:ascii="宋体" w:hAnsi="宋体" w:cs="宋体"/>
          <w:b/>
          <w:color w:val="000000"/>
          <w:kern w:val="0"/>
          <w:sz w:val="23"/>
          <w:szCs w:val="23"/>
        </w:rPr>
        <w:t>，</w:t>
      </w:r>
      <w:bookmarkStart w:id="3" w:name="_Hlk149292900"/>
      <w:r>
        <w:rPr>
          <w:rFonts w:hint="eastAsia" w:ascii="宋体" w:hAnsi="宋体" w:cs="宋体"/>
          <w:b/>
          <w:color w:val="000000"/>
          <w:kern w:val="0"/>
          <w:sz w:val="23"/>
          <w:szCs w:val="23"/>
        </w:rPr>
        <w:t>如甲方超过5个自然日</w:t>
      </w:r>
      <w:r>
        <w:rPr>
          <w:rFonts w:ascii="宋体" w:hAnsi="宋体" w:cs="宋体"/>
          <w:b/>
          <w:color w:val="000000"/>
          <w:kern w:val="0"/>
          <w:sz w:val="23"/>
          <w:szCs w:val="23"/>
        </w:rPr>
        <w:t>未</w:t>
      </w:r>
      <w:r>
        <w:rPr>
          <w:rFonts w:hint="eastAsia" w:ascii="宋体" w:hAnsi="宋体" w:cs="宋体"/>
          <w:b/>
          <w:color w:val="000000"/>
          <w:kern w:val="0"/>
          <w:sz w:val="23"/>
          <w:szCs w:val="23"/>
        </w:rPr>
        <w:t>书面</w:t>
      </w:r>
      <w:r>
        <w:rPr>
          <w:rFonts w:ascii="宋体" w:hAnsi="宋体" w:cs="宋体"/>
          <w:b/>
          <w:color w:val="000000"/>
          <w:kern w:val="0"/>
          <w:sz w:val="23"/>
          <w:szCs w:val="23"/>
        </w:rPr>
        <w:t>提</w:t>
      </w:r>
      <w:r>
        <w:rPr>
          <w:rFonts w:hint="eastAsia" w:ascii="宋体" w:hAnsi="宋体" w:cs="宋体"/>
          <w:b/>
          <w:color w:val="000000"/>
          <w:kern w:val="0"/>
          <w:sz w:val="23"/>
          <w:szCs w:val="23"/>
        </w:rPr>
        <w:t>出</w:t>
      </w:r>
      <w:r>
        <w:rPr>
          <w:rFonts w:ascii="宋体" w:hAnsi="宋体" w:cs="宋体"/>
          <w:b/>
          <w:color w:val="000000"/>
          <w:kern w:val="0"/>
          <w:sz w:val="23"/>
          <w:szCs w:val="23"/>
        </w:rPr>
        <w:t>异议</w:t>
      </w:r>
      <w:r>
        <w:rPr>
          <w:rFonts w:hint="eastAsia" w:ascii="宋体" w:hAnsi="宋体" w:cs="宋体"/>
          <w:b/>
          <w:color w:val="000000"/>
          <w:kern w:val="0"/>
          <w:sz w:val="23"/>
          <w:szCs w:val="23"/>
        </w:rPr>
        <w:t>亦未确认的</w:t>
      </w:r>
      <w:r>
        <w:rPr>
          <w:rFonts w:ascii="宋体" w:hAnsi="宋体" w:cs="宋体"/>
          <w:b/>
          <w:color w:val="000000"/>
          <w:kern w:val="0"/>
          <w:sz w:val="23"/>
          <w:szCs w:val="23"/>
        </w:rPr>
        <w:t>，</w:t>
      </w:r>
      <w:r>
        <w:rPr>
          <w:rFonts w:hint="eastAsia" w:ascii="宋体" w:hAnsi="宋体" w:cs="宋体"/>
          <w:b/>
          <w:color w:val="000000"/>
          <w:kern w:val="0"/>
          <w:sz w:val="23"/>
          <w:szCs w:val="23"/>
        </w:rPr>
        <w:t>视为认可账单金额。</w:t>
      </w:r>
      <w:commentRangeEnd w:id="10"/>
      <w:r>
        <w:rPr>
          <w:rStyle w:val="30"/>
          <w:b/>
          <w:lang w:val="zh-CN"/>
        </w:rPr>
        <w:commentReference w:id="10"/>
      </w:r>
      <w:commentRangeEnd w:id="12"/>
      <w:r>
        <w:rPr>
          <w:rStyle w:val="30"/>
          <w:lang w:val="zh-CN"/>
        </w:rPr>
        <w:commentReference w:id="12"/>
      </w:r>
    </w:p>
    <w:bookmarkEnd w:id="1"/>
    <w:bookmarkEnd w:id="3"/>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6.2甲方应于每月25日前根据账单记载金额向乙方支付账单记载的全部服务费用。</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6.3甲方通过电汇或乙方指定的其他支付方式（如在线支付、电汇、网银钱包、信用卡、移动支付等）进行服务费的支付。甲方有义务按照约定时间支付所欠乙方的服务费用，不得以理赔尚未结束为由拖延支付、拒绝支付所欠服务费用。 </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6.4从甲方申请发票成功之日起，乙方在十个工作日内完成发票开具并寄出。甲方开票信息变更，须提前通知乙方，若甲方未能及时通知乙方变更信息导致发票开具未变更，甲方自行处理；甲方如需开具增值税专用发票，则须要在合同签署时提供相关资质。</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6.5在前述条款结算周期内，乙方给予甲方一定的赊销额度，以乙方系统通知查询为准或双方另行约定。甲方超过赊销额度仍需要继续发货的，甲方可以选择支付应付款项后释放赊销额度，或者按现结客户标准要求乙方继续提供服务。同时，乙方可以根据双方的合作情况（包括不限于发货量、回款情况）等通知甲方调整赊销额度，甲方于收到通知后3日内未提出异议的，视为无异议。 </w:t>
      </w:r>
    </w:p>
    <w:p>
      <w:pPr>
        <w:widowControl/>
        <w:spacing w:before="100" w:beforeAutospacing="1" w:after="156"/>
        <w:ind w:firstLine="460"/>
        <w:jc w:val="left"/>
        <w:rPr>
          <w:rFonts w:ascii="宋体" w:hAnsi="宋体" w:cs="宋体"/>
          <w:b/>
          <w:color w:val="FF0000"/>
          <w:kern w:val="0"/>
          <w:sz w:val="23"/>
          <w:szCs w:val="23"/>
        </w:rPr>
      </w:pPr>
      <w:commentRangeStart w:id="13"/>
      <w:r>
        <w:rPr>
          <w:rFonts w:ascii="宋体" w:hAnsi="宋体" w:cs="宋体"/>
          <w:b/>
          <w:color w:val="FF0000"/>
          <w:kern w:val="0"/>
          <w:sz w:val="23"/>
          <w:szCs w:val="23"/>
        </w:rPr>
        <w:t>7.</w:t>
      </w:r>
      <w:commentRangeStart w:id="14"/>
      <w:r>
        <w:rPr>
          <w:rFonts w:ascii="宋体" w:hAnsi="宋体" w:cs="宋体"/>
          <w:b/>
          <w:color w:val="FF0000"/>
          <w:kern w:val="0"/>
          <w:sz w:val="23"/>
          <w:szCs w:val="23"/>
        </w:rPr>
        <w:t>保价及赔付</w:t>
      </w:r>
      <w:commentRangeEnd w:id="14"/>
      <w:r>
        <w:rPr>
          <w:rStyle w:val="30"/>
          <w:lang w:val="zh-CN"/>
        </w:rPr>
        <w:commentReference w:id="14"/>
      </w:r>
    </w:p>
    <w:p>
      <w:pPr>
        <w:widowControl/>
        <w:spacing w:before="100" w:beforeAutospacing="1" w:after="156"/>
        <w:ind w:firstLine="460"/>
        <w:jc w:val="left"/>
        <w:rPr>
          <w:rFonts w:ascii="宋体" w:hAnsi="宋体" w:cs="宋体"/>
          <w:b/>
          <w:color w:val="FF0000"/>
          <w:kern w:val="0"/>
          <w:sz w:val="23"/>
          <w:szCs w:val="23"/>
        </w:rPr>
      </w:pPr>
      <w:r>
        <w:rPr>
          <w:rFonts w:hint="eastAsia" w:ascii="宋体" w:hAnsi="宋体" w:cs="宋体"/>
          <w:b/>
          <w:color w:val="FF0000"/>
          <w:kern w:val="0"/>
          <w:sz w:val="23"/>
          <w:szCs w:val="23"/>
        </w:rPr>
        <w:t>乙方为甲方货物提供保价服务，由甲方根据货物的实际价值和赔偿需求，自行评估是否选择。双方均明确知晓：保价服务的选择与否对于货物毁损、灭失之后的赔付标准具有非常重要的意义。乙方在提供服务前无法对货物的实际价值进行核实，甲方承诺遵循诚实信用的原则，按照货物的实际价值来填写声明价值。</w:t>
      </w:r>
    </w:p>
    <w:p>
      <w:pPr>
        <w:widowControl/>
        <w:spacing w:before="100" w:beforeAutospacing="1" w:after="156"/>
        <w:ind w:firstLine="460"/>
        <w:jc w:val="left"/>
        <w:rPr>
          <w:rFonts w:ascii="宋体" w:hAnsi="宋体" w:cs="宋体"/>
          <w:b/>
          <w:color w:val="FF0000"/>
          <w:kern w:val="0"/>
          <w:sz w:val="23"/>
          <w:szCs w:val="23"/>
        </w:rPr>
      </w:pPr>
      <w:r>
        <w:rPr>
          <w:rFonts w:ascii="宋体" w:hAnsi="宋体" w:cs="宋体"/>
          <w:b/>
          <w:color w:val="FF0000"/>
          <w:kern w:val="0"/>
          <w:sz w:val="23"/>
          <w:szCs w:val="23"/>
        </w:rPr>
        <w:t>7.1仓储服务赔付标准</w:t>
      </w:r>
    </w:p>
    <w:p>
      <w:pPr>
        <w:widowControl/>
        <w:spacing w:before="100" w:beforeAutospacing="1" w:after="156"/>
        <w:ind w:firstLine="460"/>
        <w:jc w:val="left"/>
        <w:rPr>
          <w:rFonts w:ascii="宋体" w:hAnsi="宋体" w:cs="宋体"/>
          <w:b/>
          <w:color w:val="FF0000"/>
          <w:kern w:val="0"/>
          <w:sz w:val="23"/>
          <w:szCs w:val="23"/>
        </w:rPr>
      </w:pPr>
      <w:r>
        <w:rPr>
          <w:rFonts w:ascii="宋体" w:hAnsi="宋体" w:cs="宋体"/>
          <w:b/>
          <w:color w:val="FF0000"/>
          <w:kern w:val="0"/>
          <w:sz w:val="23"/>
          <w:szCs w:val="23"/>
        </w:rPr>
        <w:t>7.1.1由于乙方过错，造成甲方货物毁损、灭失、短少等，超出本合同约定的免责标准范围外的货物由乙方承担赔偿责任。</w:t>
      </w:r>
    </w:p>
    <w:p>
      <w:pPr>
        <w:widowControl/>
        <w:spacing w:before="100" w:beforeAutospacing="1" w:after="156"/>
        <w:ind w:firstLine="460"/>
        <w:jc w:val="left"/>
        <w:rPr>
          <w:rFonts w:ascii="宋体" w:hAnsi="宋体" w:cs="宋体"/>
          <w:b/>
          <w:bCs/>
          <w:color w:val="FF0000"/>
          <w:sz w:val="23"/>
          <w:szCs w:val="23"/>
        </w:rPr>
      </w:pPr>
      <w:commentRangeStart w:id="15"/>
      <w:commentRangeStart w:id="16"/>
      <w:commentRangeStart w:id="17"/>
      <w:r>
        <w:rPr>
          <w:rFonts w:ascii="宋体" w:hAnsi="宋体" w:cs="宋体"/>
          <w:b/>
          <w:bCs/>
          <w:color w:val="FF0000"/>
          <w:sz w:val="23"/>
          <w:szCs w:val="23"/>
        </w:rPr>
        <w:t xml:space="preserve">7.1.2 </w:t>
      </w:r>
      <w:r>
        <w:rPr>
          <w:rFonts w:hint="eastAsia" w:ascii="宋体" w:hAnsi="宋体" w:cs="宋体"/>
          <w:b/>
          <w:bCs/>
          <w:color w:val="FF0000"/>
          <w:sz w:val="23"/>
          <w:szCs w:val="23"/>
        </w:rPr>
        <w:t>乙方仓库按自然月对库内货品进行盘点，并以盘点结果累计汇总为依据对超出库存差异率的部分，货值盈亏互抵金额仍为负值的部分进行赔付。库存差异率</w:t>
      </w:r>
      <w:r>
        <w:rPr>
          <w:rFonts w:ascii="宋体" w:hAnsi="宋体" w:cs="宋体"/>
          <w:b/>
          <w:bCs/>
          <w:color w:val="FF0000"/>
          <w:sz w:val="23"/>
          <w:szCs w:val="23"/>
        </w:rPr>
        <w:t>= sum（|自然月累计盘亏件数|+|自然月累计盘盈件数|）/自然月库存平均值*100%。赔付标准：</w:t>
      </w:r>
    </w:p>
    <w:p>
      <w:pPr>
        <w:widowControl/>
        <w:spacing w:before="100" w:beforeAutospacing="1" w:after="156"/>
        <w:ind w:firstLine="460"/>
        <w:jc w:val="left"/>
        <w:rPr>
          <w:rFonts w:ascii="宋体" w:hAnsi="宋体" w:cs="宋体"/>
          <w:b/>
          <w:bCs/>
          <w:color w:val="FF0000"/>
          <w:sz w:val="23"/>
          <w:szCs w:val="23"/>
        </w:rPr>
      </w:pPr>
      <w:r>
        <w:rPr>
          <w:rFonts w:ascii="宋体" w:hAnsi="宋体" w:cs="宋体"/>
          <w:b/>
          <w:bCs/>
          <w:color w:val="FF0000"/>
          <w:sz w:val="23"/>
          <w:szCs w:val="23"/>
        </w:rPr>
        <w:t></w:t>
      </w:r>
      <w:r>
        <w:rPr>
          <w:rFonts w:ascii="宋体" w:hAnsi="宋体" w:cs="宋体"/>
          <w:b/>
          <w:bCs/>
          <w:color w:val="FF0000"/>
          <w:sz w:val="23"/>
          <w:szCs w:val="23"/>
        </w:rPr>
        <w:tab/>
      </w:r>
      <w:r>
        <w:rPr>
          <w:rFonts w:hint="eastAsia" w:ascii="宋体" w:hAnsi="宋体" w:cs="宋体"/>
          <w:b/>
          <w:bCs/>
          <w:color w:val="FF0000"/>
          <w:sz w:val="23"/>
          <w:szCs w:val="23"/>
        </w:rPr>
        <w:t>库存差异率≤</w:t>
      </w:r>
      <w:r>
        <w:rPr>
          <w:rFonts w:ascii="宋体" w:hAnsi="宋体" w:cs="宋体"/>
          <w:b/>
          <w:bCs/>
          <w:color w:val="FF0000"/>
          <w:sz w:val="23"/>
          <w:szCs w:val="23"/>
        </w:rPr>
        <w:t>0.03%</w:t>
      </w:r>
      <w:r>
        <w:rPr>
          <w:rFonts w:hint="eastAsia" w:ascii="宋体" w:hAnsi="宋体" w:cs="宋体"/>
          <w:b/>
          <w:bCs/>
          <w:color w:val="FF0000"/>
          <w:sz w:val="23"/>
          <w:szCs w:val="23"/>
        </w:rPr>
        <w:t>，则京东物流仅依据盘点单调整系统库存，无需赔付；</w:t>
      </w:r>
    </w:p>
    <w:p>
      <w:pPr>
        <w:widowControl/>
        <w:spacing w:before="100" w:beforeAutospacing="1" w:after="156"/>
        <w:ind w:firstLine="460"/>
        <w:jc w:val="left"/>
        <w:rPr>
          <w:rFonts w:ascii="宋体" w:hAnsi="宋体" w:cs="宋体"/>
          <w:b/>
          <w:bCs/>
          <w:color w:val="FF0000"/>
          <w:sz w:val="23"/>
          <w:szCs w:val="23"/>
        </w:rPr>
      </w:pPr>
      <w:r>
        <w:rPr>
          <w:rFonts w:ascii="宋体" w:hAnsi="宋体" w:cs="宋体"/>
          <w:b/>
          <w:bCs/>
          <w:color w:val="FF0000"/>
          <w:sz w:val="23"/>
          <w:szCs w:val="23"/>
        </w:rPr>
        <w:t></w:t>
      </w:r>
      <w:r>
        <w:rPr>
          <w:rFonts w:ascii="宋体" w:hAnsi="宋体" w:cs="宋体"/>
          <w:b/>
          <w:bCs/>
          <w:color w:val="FF0000"/>
          <w:sz w:val="23"/>
          <w:szCs w:val="23"/>
        </w:rPr>
        <w:tab/>
      </w:r>
      <w:r>
        <w:rPr>
          <w:rFonts w:hint="eastAsia" w:ascii="宋体" w:hAnsi="宋体" w:cs="宋体"/>
          <w:b/>
          <w:bCs/>
          <w:color w:val="FF0000"/>
          <w:sz w:val="23"/>
          <w:szCs w:val="23"/>
        </w:rPr>
        <w:t>库存差异率＞</w:t>
      </w:r>
      <w:r>
        <w:rPr>
          <w:rFonts w:ascii="宋体" w:hAnsi="宋体" w:cs="宋体"/>
          <w:b/>
          <w:bCs/>
          <w:color w:val="FF0000"/>
          <w:sz w:val="23"/>
          <w:szCs w:val="23"/>
        </w:rPr>
        <w:t>0.03%</w:t>
      </w:r>
      <w:r>
        <w:rPr>
          <w:rFonts w:hint="eastAsia" w:ascii="宋体" w:hAnsi="宋体" w:cs="宋体"/>
          <w:b/>
          <w:bCs/>
          <w:color w:val="FF0000"/>
          <w:sz w:val="23"/>
          <w:szCs w:val="23"/>
        </w:rPr>
        <w:t>且盘亏总金额＞盘盈总金额，京东物流需按∑（盘亏货品件数</w:t>
      </w:r>
      <w:r>
        <w:rPr>
          <w:rFonts w:ascii="宋体" w:hAnsi="宋体" w:cs="宋体"/>
          <w:b/>
          <w:bCs/>
          <w:color w:val="FF0000"/>
          <w:sz w:val="23"/>
          <w:szCs w:val="23"/>
        </w:rPr>
        <w:t>*</w:t>
      </w:r>
      <w:r>
        <w:rPr>
          <w:rFonts w:hint="eastAsia" w:ascii="宋体" w:hAnsi="宋体" w:cs="宋体"/>
          <w:b/>
          <w:bCs/>
          <w:color w:val="FF0000"/>
          <w:sz w:val="23"/>
          <w:szCs w:val="23"/>
        </w:rPr>
        <w:t>盘亏货品货值）</w:t>
      </w:r>
      <w:r>
        <w:rPr>
          <w:rFonts w:ascii="宋体" w:hAnsi="宋体" w:cs="宋体"/>
          <w:b/>
          <w:bCs/>
          <w:color w:val="FF0000"/>
          <w:sz w:val="23"/>
          <w:szCs w:val="23"/>
        </w:rPr>
        <w:t>-</w:t>
      </w:r>
      <w:r>
        <w:rPr>
          <w:rFonts w:hint="eastAsia" w:ascii="宋体" w:hAnsi="宋体" w:cs="宋体"/>
          <w:b/>
          <w:bCs/>
          <w:color w:val="FF0000"/>
          <w:sz w:val="23"/>
          <w:szCs w:val="23"/>
        </w:rPr>
        <w:t>∑（盘盈货品件数</w:t>
      </w:r>
      <w:r>
        <w:rPr>
          <w:rFonts w:ascii="宋体" w:hAnsi="宋体" w:cs="宋体"/>
          <w:b/>
          <w:bCs/>
          <w:color w:val="FF0000"/>
          <w:sz w:val="23"/>
          <w:szCs w:val="23"/>
        </w:rPr>
        <w:t>*</w:t>
      </w:r>
      <w:r>
        <w:rPr>
          <w:rFonts w:hint="eastAsia" w:ascii="宋体" w:hAnsi="宋体" w:cs="宋体"/>
          <w:b/>
          <w:bCs/>
          <w:color w:val="FF0000"/>
          <w:sz w:val="23"/>
          <w:szCs w:val="23"/>
        </w:rPr>
        <w:t>盘盈货品货值）赔付给商家，并依据盘点单调整系统库存；</w:t>
      </w:r>
    </w:p>
    <w:p>
      <w:pPr>
        <w:widowControl/>
        <w:spacing w:before="100" w:beforeAutospacing="1" w:after="156"/>
        <w:ind w:firstLine="460"/>
        <w:jc w:val="left"/>
        <w:rPr>
          <w:rFonts w:ascii="宋体" w:hAnsi="宋体" w:cs="宋体"/>
          <w:b/>
          <w:color w:val="FF0000"/>
          <w:kern w:val="0"/>
          <w:sz w:val="23"/>
          <w:szCs w:val="23"/>
        </w:rPr>
      </w:pPr>
      <w:r>
        <w:rPr>
          <w:rFonts w:ascii="宋体" w:hAnsi="宋体" w:cs="宋体"/>
          <w:b/>
          <w:bCs/>
          <w:color w:val="FF0000"/>
          <w:sz w:val="23"/>
          <w:szCs w:val="23"/>
        </w:rPr>
        <w:t></w:t>
      </w:r>
      <w:r>
        <w:rPr>
          <w:rFonts w:ascii="宋体" w:hAnsi="宋体" w:cs="宋体"/>
          <w:b/>
          <w:bCs/>
          <w:color w:val="FF0000"/>
          <w:sz w:val="23"/>
          <w:szCs w:val="23"/>
        </w:rPr>
        <w:tab/>
      </w:r>
      <w:r>
        <w:rPr>
          <w:rFonts w:hint="eastAsia" w:ascii="宋体" w:hAnsi="宋体" w:cs="宋体"/>
          <w:b/>
          <w:bCs/>
          <w:color w:val="FF0000"/>
          <w:sz w:val="23"/>
          <w:szCs w:val="23"/>
        </w:rPr>
        <w:t>库存差异＞</w:t>
      </w:r>
      <w:r>
        <w:rPr>
          <w:rFonts w:ascii="宋体" w:hAnsi="宋体" w:cs="宋体"/>
          <w:b/>
          <w:bCs/>
          <w:color w:val="FF0000"/>
          <w:sz w:val="23"/>
          <w:szCs w:val="23"/>
        </w:rPr>
        <w:t>0.03%</w:t>
      </w:r>
      <w:r>
        <w:rPr>
          <w:rFonts w:hint="eastAsia" w:ascii="宋体" w:hAnsi="宋体" w:cs="宋体"/>
          <w:b/>
          <w:bCs/>
          <w:color w:val="FF0000"/>
          <w:sz w:val="23"/>
          <w:szCs w:val="23"/>
        </w:rPr>
        <w:t>且盘亏总金额≤盘盈总金额，京东物流仅依据盘点单调整系统库存，无需赔付。</w:t>
      </w:r>
      <w:commentRangeEnd w:id="15"/>
      <w:r>
        <w:rPr>
          <w:rStyle w:val="30"/>
          <w:color w:val="FF0000"/>
          <w:lang w:val="zh-CN"/>
        </w:rPr>
        <w:commentReference w:id="15"/>
      </w:r>
      <w:commentRangeEnd w:id="16"/>
      <w:r>
        <w:rPr>
          <w:rStyle w:val="30"/>
          <w:color w:val="FF0000"/>
          <w:lang w:val="zh-CN"/>
        </w:rPr>
        <w:commentReference w:id="16"/>
      </w:r>
      <w:commentRangeEnd w:id="17"/>
      <w:r>
        <w:rPr>
          <w:rStyle w:val="30"/>
          <w:color w:val="FF0000"/>
          <w:lang w:val="zh-CN"/>
        </w:rPr>
        <w:commentReference w:id="17"/>
      </w:r>
    </w:p>
    <w:p>
      <w:pPr>
        <w:widowControl/>
        <w:spacing w:before="100" w:beforeAutospacing="1" w:after="156"/>
        <w:ind w:firstLine="460"/>
        <w:jc w:val="left"/>
        <w:rPr>
          <w:rFonts w:ascii="宋体" w:hAnsi="宋体" w:cs="宋体"/>
          <w:b/>
          <w:color w:val="FF0000"/>
          <w:kern w:val="0"/>
          <w:sz w:val="23"/>
          <w:szCs w:val="23"/>
        </w:rPr>
      </w:pPr>
      <w:r>
        <w:rPr>
          <w:rFonts w:ascii="宋体" w:hAnsi="宋体" w:cs="宋体"/>
          <w:b/>
          <w:color w:val="FF0000"/>
          <w:kern w:val="0"/>
          <w:sz w:val="23"/>
          <w:szCs w:val="23"/>
        </w:rPr>
        <w:t>7.1.</w:t>
      </w:r>
      <w:r>
        <w:rPr>
          <w:rFonts w:ascii="宋体" w:hAnsi="宋体" w:cs="宋体"/>
          <w:b/>
          <w:color w:val="FF0000"/>
          <w:kern w:val="0"/>
          <w:sz w:val="23"/>
          <w:szCs w:val="23"/>
        </w:rPr>
        <w:t>3</w:t>
      </w:r>
      <w:r>
        <w:rPr>
          <w:rFonts w:ascii="宋体" w:hAnsi="宋体" w:cs="宋体"/>
          <w:b/>
          <w:color w:val="FF0000"/>
          <w:kern w:val="0"/>
          <w:sz w:val="23"/>
          <w:szCs w:val="23"/>
        </w:rPr>
        <w:t>因乙方过错造成毁损、灭失</w:t>
      </w:r>
      <w:commentRangeStart w:id="18"/>
      <w:r>
        <w:rPr>
          <w:rFonts w:hint="eastAsia" w:cs="宋体" w:asciiTheme="minorEastAsia" w:hAnsiTheme="minorEastAsia" w:eastAsiaTheme="minorEastAsia"/>
          <w:b/>
          <w:color w:val="FF0000"/>
          <w:kern w:val="0"/>
          <w:sz w:val="23"/>
          <w:szCs w:val="23"/>
        </w:rPr>
        <w:t>需赔付</w:t>
      </w:r>
      <w:commentRangeEnd w:id="18"/>
      <w:r>
        <w:rPr>
          <w:rStyle w:val="30"/>
          <w:color w:val="FF0000"/>
          <w:lang w:val="zh-CN"/>
        </w:rPr>
        <w:commentReference w:id="18"/>
      </w:r>
      <w:r>
        <w:rPr>
          <w:rFonts w:ascii="宋体" w:hAnsi="宋体" w:cs="宋体"/>
          <w:b/>
          <w:color w:val="FF0000"/>
          <w:kern w:val="0"/>
          <w:sz w:val="23"/>
          <w:szCs w:val="23"/>
        </w:rPr>
        <w:t>的甲方货物，乙方按照甲方货物的成本价作为赔付标准，甲方须提供甲方货物采购协议或发票等成本价相关证明材料，以甲乙双方确认为准，货物在乙方赔付后物权归乙方所有。</w:t>
      </w:r>
    </w:p>
    <w:p>
      <w:pPr>
        <w:widowControl/>
        <w:spacing w:before="100" w:beforeAutospacing="1" w:after="156"/>
        <w:ind w:firstLine="460"/>
        <w:jc w:val="left"/>
        <w:rPr>
          <w:rFonts w:ascii="宋体" w:hAnsi="宋体" w:cs="宋体"/>
          <w:b/>
          <w:color w:val="FF0000"/>
          <w:kern w:val="0"/>
          <w:sz w:val="23"/>
          <w:szCs w:val="23"/>
        </w:rPr>
      </w:pPr>
      <w:r>
        <w:rPr>
          <w:rFonts w:ascii="宋体" w:hAnsi="宋体" w:cs="宋体"/>
          <w:b/>
          <w:color w:val="FF0000"/>
          <w:kern w:val="0"/>
          <w:sz w:val="23"/>
          <w:szCs w:val="23"/>
        </w:rPr>
        <w:t>7.2配送服务赔付标准</w:t>
      </w:r>
    </w:p>
    <w:p>
      <w:pPr>
        <w:widowControl/>
        <w:spacing w:before="100" w:beforeAutospacing="1" w:after="156"/>
        <w:ind w:firstLine="460"/>
        <w:jc w:val="left"/>
        <w:rPr>
          <w:rFonts w:ascii="宋体" w:hAnsi="宋体" w:cs="宋体"/>
          <w:b/>
          <w:color w:val="FF0000"/>
          <w:kern w:val="0"/>
          <w:sz w:val="23"/>
          <w:szCs w:val="23"/>
        </w:rPr>
      </w:pPr>
      <w:r>
        <w:rPr>
          <w:rFonts w:ascii="宋体" w:hAnsi="宋体" w:cs="宋体"/>
          <w:b/>
          <w:color w:val="FF0000"/>
          <w:kern w:val="0"/>
          <w:sz w:val="23"/>
          <w:szCs w:val="23"/>
        </w:rPr>
        <w:t>7.2.1甲方已保价的货物：</w:t>
      </w:r>
    </w:p>
    <w:p>
      <w:pPr>
        <w:widowControl/>
        <w:spacing w:before="100" w:beforeAutospacing="1" w:after="156"/>
        <w:ind w:firstLine="460"/>
        <w:jc w:val="left"/>
        <w:rPr>
          <w:rFonts w:ascii="宋体" w:hAnsi="宋体" w:cs="宋体"/>
          <w:b/>
          <w:color w:val="FF0000"/>
          <w:kern w:val="0"/>
          <w:sz w:val="23"/>
          <w:szCs w:val="23"/>
        </w:rPr>
      </w:pPr>
      <w:r>
        <w:rPr>
          <w:rFonts w:hint="eastAsia" w:ascii="宋体" w:hAnsi="宋体" w:cs="宋体"/>
          <w:b/>
          <w:color w:val="FF0000"/>
          <w:kern w:val="0"/>
          <w:sz w:val="23"/>
          <w:szCs w:val="23"/>
        </w:rPr>
        <w:t>（</w:t>
      </w:r>
      <w:r>
        <w:rPr>
          <w:rFonts w:ascii="宋体" w:hAnsi="宋体" w:cs="宋体"/>
          <w:b/>
          <w:color w:val="FF0000"/>
          <w:kern w:val="0"/>
          <w:sz w:val="23"/>
          <w:szCs w:val="23"/>
        </w:rPr>
        <w:t>1）若因乙方过错造成甲方货物销售包装破损且内物破损的：</w:t>
      </w:r>
    </w:p>
    <w:p>
      <w:pPr>
        <w:widowControl/>
        <w:spacing w:before="100" w:beforeAutospacing="1" w:after="156"/>
        <w:ind w:firstLine="460"/>
        <w:jc w:val="left"/>
        <w:rPr>
          <w:rFonts w:ascii="宋体" w:hAnsi="宋体" w:cs="宋体"/>
          <w:b/>
          <w:color w:val="FF0000"/>
          <w:kern w:val="0"/>
          <w:sz w:val="23"/>
          <w:szCs w:val="23"/>
        </w:rPr>
      </w:pPr>
      <w:r>
        <w:rPr>
          <w:rFonts w:hint="eastAsia" w:ascii="宋体" w:hAnsi="宋体" w:cs="宋体"/>
          <w:b/>
          <w:color w:val="FF0000"/>
          <w:kern w:val="0"/>
          <w:sz w:val="23"/>
          <w:szCs w:val="23"/>
        </w:rPr>
        <w:t>销售包装与内物破损处为同一位置的，乙方按照声明价值与</w:t>
      </w:r>
      <w:commentRangeStart w:id="19"/>
      <w:commentRangeStart w:id="20"/>
      <w:commentRangeStart w:id="21"/>
      <w:commentRangeStart w:id="22"/>
      <w:r>
        <w:rPr>
          <w:rFonts w:hint="eastAsia" w:ascii="宋体" w:hAnsi="宋体" w:cs="宋体"/>
          <w:b/>
          <w:color w:val="FF0000"/>
          <w:kern w:val="0"/>
          <w:sz w:val="23"/>
          <w:szCs w:val="23"/>
        </w:rPr>
        <w:t>货物损失比例</w:t>
      </w:r>
      <w:commentRangeEnd w:id="19"/>
      <w:r>
        <w:rPr>
          <w:rStyle w:val="30"/>
          <w:color w:val="FF0000"/>
          <w:lang w:val="zh-CN"/>
        </w:rPr>
        <w:commentReference w:id="19"/>
      </w:r>
      <w:commentRangeEnd w:id="20"/>
      <w:r>
        <w:rPr>
          <w:rStyle w:val="30"/>
          <w:color w:val="FF0000"/>
          <w:lang w:val="zh-CN"/>
        </w:rPr>
        <w:commentReference w:id="20"/>
      </w:r>
      <w:commentRangeEnd w:id="21"/>
      <w:r>
        <w:rPr>
          <w:rStyle w:val="30"/>
          <w:color w:val="FF0000"/>
          <w:lang w:val="zh-CN"/>
        </w:rPr>
        <w:commentReference w:id="21"/>
      </w:r>
      <w:commentRangeEnd w:id="22"/>
      <w:r>
        <w:rPr>
          <w:rStyle w:val="30"/>
          <w:color w:val="FF0000"/>
          <w:lang w:val="zh-CN"/>
        </w:rPr>
        <w:commentReference w:id="22"/>
      </w:r>
      <w:r>
        <w:rPr>
          <w:rFonts w:hint="eastAsia" w:ascii="宋体" w:hAnsi="宋体" w:cs="宋体"/>
          <w:b/>
          <w:color w:val="FF0000"/>
          <w:kern w:val="0"/>
          <w:sz w:val="23"/>
          <w:szCs w:val="23"/>
        </w:rPr>
        <w:t>（</w:t>
      </w:r>
      <w:r>
        <w:rPr>
          <w:rFonts w:hint="eastAsia" w:asciiTheme="minorEastAsia" w:hAnsiTheme="minorEastAsia" w:eastAsiaTheme="minorEastAsia" w:cstheme="minorEastAsia"/>
          <w:b/>
          <w:color w:val="FF0000"/>
          <w:sz w:val="22"/>
        </w:rPr>
        <w:t>货物损失比例</w:t>
      </w:r>
      <w:r>
        <w:rPr>
          <w:rFonts w:asciiTheme="minorEastAsia" w:hAnsiTheme="minorEastAsia" w:eastAsiaTheme="minorEastAsia" w:cstheme="minorEastAsia"/>
          <w:b/>
          <w:color w:val="FF0000"/>
          <w:sz w:val="22"/>
        </w:rPr>
        <w:t>=实际损失价值/货物实际价值*100%</w:t>
      </w:r>
      <w:r>
        <w:rPr>
          <w:rFonts w:hint="eastAsia" w:ascii="宋体" w:hAnsi="宋体" w:cs="宋体"/>
          <w:b/>
          <w:color w:val="FF0000"/>
          <w:kern w:val="0"/>
          <w:sz w:val="23"/>
          <w:szCs w:val="23"/>
        </w:rPr>
        <w:t>）</w:t>
      </w:r>
      <w:r>
        <w:rPr>
          <w:rFonts w:hint="eastAsia" w:ascii="宋体" w:hAnsi="宋体" w:cs="宋体"/>
          <w:b/>
          <w:color w:val="FF0000"/>
          <w:kern w:val="0"/>
          <w:sz w:val="23"/>
          <w:szCs w:val="23"/>
        </w:rPr>
        <w:t>进行赔偿，最高不超过货物的实际价值。甲方应提供货物价值发票等证明材料，以便准确核定货物实际损失，否则乙方有权拒绝赔偿。赔付货物在乙方进行赔付后物权归乙方所有。</w:t>
      </w:r>
    </w:p>
    <w:p>
      <w:pPr>
        <w:widowControl/>
        <w:spacing w:before="100" w:beforeAutospacing="1" w:after="156"/>
        <w:ind w:firstLine="460"/>
        <w:jc w:val="left"/>
        <w:rPr>
          <w:rFonts w:ascii="宋体" w:hAnsi="宋体" w:cs="宋体"/>
          <w:b/>
          <w:color w:val="FF0000"/>
          <w:kern w:val="0"/>
          <w:sz w:val="23"/>
          <w:szCs w:val="23"/>
        </w:rPr>
      </w:pPr>
      <w:r>
        <w:rPr>
          <w:rFonts w:hint="eastAsia" w:ascii="宋体" w:hAnsi="宋体" w:cs="宋体"/>
          <w:b/>
          <w:color w:val="FF0000"/>
          <w:kern w:val="0"/>
          <w:sz w:val="23"/>
          <w:szCs w:val="23"/>
        </w:rPr>
        <w:t>销售包装与内物破损处不为同一位置的，按照</w:t>
      </w:r>
      <w:r>
        <w:rPr>
          <w:rFonts w:ascii="宋体" w:hAnsi="宋体" w:cs="宋体"/>
          <w:b/>
          <w:color w:val="FF0000"/>
          <w:kern w:val="0"/>
          <w:sz w:val="23"/>
          <w:szCs w:val="23"/>
        </w:rPr>
        <w:t>7.2.3条进行赔付。</w:t>
      </w:r>
    </w:p>
    <w:p>
      <w:pPr>
        <w:widowControl/>
        <w:spacing w:before="100" w:beforeAutospacing="1" w:after="156"/>
        <w:ind w:firstLine="460"/>
        <w:jc w:val="left"/>
        <w:rPr>
          <w:rFonts w:ascii="宋体" w:hAnsi="宋体" w:cs="宋体"/>
          <w:b/>
          <w:color w:val="FF0000"/>
          <w:kern w:val="0"/>
          <w:sz w:val="23"/>
          <w:szCs w:val="23"/>
        </w:rPr>
      </w:pPr>
      <w:r>
        <w:rPr>
          <w:rFonts w:hint="eastAsia" w:ascii="宋体" w:hAnsi="宋体" w:cs="宋体"/>
          <w:b/>
          <w:color w:val="FF0000"/>
          <w:kern w:val="0"/>
          <w:sz w:val="23"/>
          <w:szCs w:val="23"/>
        </w:rPr>
        <w:t>（</w:t>
      </w:r>
      <w:r>
        <w:rPr>
          <w:rFonts w:ascii="宋体" w:hAnsi="宋体" w:cs="宋体"/>
          <w:b/>
          <w:color w:val="FF0000"/>
          <w:kern w:val="0"/>
          <w:sz w:val="23"/>
          <w:szCs w:val="23"/>
        </w:rPr>
        <w:t>2）若因乙方过错造成甲方货物丢失的，乙方按照货物声明价值进行赔偿，最高不超过货物的实际价值。</w:t>
      </w:r>
    </w:p>
    <w:p>
      <w:pPr>
        <w:widowControl/>
        <w:spacing w:before="100" w:beforeAutospacing="1" w:after="156"/>
        <w:ind w:firstLine="460"/>
        <w:jc w:val="left"/>
        <w:rPr>
          <w:rFonts w:ascii="宋体" w:hAnsi="宋体" w:cs="宋体"/>
          <w:b/>
          <w:color w:val="FF0000"/>
          <w:kern w:val="0"/>
          <w:sz w:val="23"/>
          <w:szCs w:val="23"/>
        </w:rPr>
      </w:pPr>
      <w:r>
        <w:rPr>
          <w:rFonts w:hint="eastAsia" w:ascii="宋体" w:hAnsi="宋体" w:cs="宋体"/>
          <w:b/>
          <w:color w:val="FF0000"/>
          <w:kern w:val="0"/>
          <w:sz w:val="23"/>
          <w:szCs w:val="23"/>
        </w:rPr>
        <w:t>（</w:t>
      </w:r>
      <w:r>
        <w:rPr>
          <w:rFonts w:ascii="宋体" w:hAnsi="宋体" w:cs="宋体"/>
          <w:b/>
          <w:color w:val="FF0000"/>
          <w:kern w:val="0"/>
          <w:sz w:val="23"/>
          <w:szCs w:val="23"/>
        </w:rPr>
        <w:t>3）甲方选择保价服务并下单后不可退保。甲方填写声明价值低于货物实际价值的，乙方按照货物损失比例和声明价值进行赔偿，最高不超过声明价值。甲方填写声明价值高于货物实际价值的，乙方按照实际损失进行赔偿，最高不超过货物实际价值。</w:t>
      </w:r>
    </w:p>
    <w:p>
      <w:pPr>
        <w:widowControl/>
        <w:spacing w:before="100" w:beforeAutospacing="1" w:after="156"/>
        <w:ind w:firstLine="460"/>
        <w:jc w:val="left"/>
        <w:rPr>
          <w:rFonts w:ascii="宋体" w:hAnsi="宋体" w:cs="宋体"/>
          <w:b/>
          <w:color w:val="FF0000"/>
          <w:kern w:val="0"/>
          <w:sz w:val="23"/>
          <w:szCs w:val="23"/>
        </w:rPr>
      </w:pPr>
      <w:r>
        <w:rPr>
          <w:rFonts w:ascii="宋体" w:hAnsi="宋体" w:cs="宋体"/>
          <w:b/>
          <w:color w:val="FF0000"/>
          <w:kern w:val="0"/>
          <w:sz w:val="23"/>
          <w:szCs w:val="23"/>
        </w:rPr>
        <w:t>7.2.2甲方未保价的货物：</w:t>
      </w:r>
    </w:p>
    <w:p>
      <w:pPr>
        <w:widowControl/>
        <w:spacing w:before="100" w:beforeAutospacing="1" w:after="156"/>
        <w:ind w:firstLine="460"/>
        <w:jc w:val="left"/>
        <w:textAlignment w:val="top"/>
        <w:rPr>
          <w:rFonts w:ascii="宋体" w:hAnsi="宋体" w:cs="宋体"/>
          <w:b/>
          <w:color w:val="FF0000"/>
          <w:kern w:val="0"/>
          <w:sz w:val="23"/>
          <w:szCs w:val="23"/>
        </w:rPr>
      </w:pPr>
      <w:r>
        <w:rPr>
          <w:rFonts w:hint="eastAsia" w:ascii="宋体" w:hAnsi="宋体" w:cs="宋体"/>
          <w:b/>
          <w:color w:val="FF0000"/>
          <w:kern w:val="0"/>
          <w:sz w:val="23"/>
          <w:szCs w:val="23"/>
        </w:rPr>
        <w:t>甲方未保价的快件，由于乙方原因造成货物丢失或破损的，乙方按货物实际损失赔偿，且每单最高额不超过损失部分货物运费的</w:t>
      </w:r>
      <w:r>
        <w:rPr>
          <w:rFonts w:ascii="宋体" w:hAnsi="宋体" w:cs="宋体"/>
          <w:b/>
          <w:color w:val="FF0000"/>
          <w:kern w:val="0"/>
          <w:sz w:val="23"/>
          <w:szCs w:val="23"/>
        </w:rPr>
        <w:t>6倍（</w:t>
      </w:r>
      <w:r>
        <w:rPr>
          <w:rFonts w:hint="eastAsia" w:ascii="宋体" w:hAnsi="宋体" w:cs="宋体"/>
          <w:b/>
          <w:color w:val="FF0000"/>
          <w:kern w:val="0"/>
          <w:sz w:val="23"/>
          <w:szCs w:val="23"/>
        </w:rPr>
        <w:t>云配产品除外）。甲方使用京东云配类产品的，每单最高额不超过损失部分货物运费的</w:t>
      </w:r>
      <w:r>
        <w:rPr>
          <w:rFonts w:ascii="宋体" w:hAnsi="宋体" w:cs="宋体"/>
          <w:b/>
          <w:color w:val="FF0000"/>
          <w:kern w:val="0"/>
          <w:sz w:val="23"/>
          <w:szCs w:val="23"/>
        </w:rPr>
        <w:t>3倍。</w:t>
      </w:r>
    </w:p>
    <w:p>
      <w:pPr>
        <w:widowControl/>
        <w:spacing w:before="100" w:beforeAutospacing="1" w:after="156"/>
        <w:ind w:firstLine="460"/>
        <w:jc w:val="left"/>
        <w:textAlignment w:val="top"/>
        <w:rPr>
          <w:rFonts w:ascii="宋体" w:hAnsi="宋体" w:cs="宋体"/>
          <w:b/>
          <w:color w:val="FF0000"/>
          <w:kern w:val="0"/>
          <w:sz w:val="23"/>
          <w:szCs w:val="23"/>
        </w:rPr>
      </w:pPr>
      <w:commentRangeStart w:id="23"/>
      <w:r>
        <w:rPr>
          <w:rFonts w:hint="eastAsia" w:ascii="宋体" w:hAnsi="宋体" w:cs="宋体"/>
          <w:b/>
          <w:color w:val="FF0000"/>
          <w:kern w:val="0"/>
          <w:sz w:val="23"/>
          <w:szCs w:val="23"/>
        </w:rPr>
        <w:t>但涉及大陆寄送至香港</w:t>
      </w:r>
      <w:r>
        <w:rPr>
          <w:rFonts w:ascii="宋体" w:hAnsi="宋体" w:cs="宋体"/>
          <w:b/>
          <w:color w:val="FF0000"/>
          <w:kern w:val="0"/>
          <w:sz w:val="23"/>
          <w:szCs w:val="23"/>
        </w:rPr>
        <w:t>/澳门、香港/澳门寄送至大陆以及香港/澳门地区互寄的未保价的货物赔偿规则如下：</w:t>
      </w:r>
    </w:p>
    <w:p>
      <w:pPr>
        <w:widowControl/>
        <w:spacing w:before="100" w:beforeAutospacing="1" w:after="156"/>
        <w:ind w:firstLine="460"/>
        <w:jc w:val="left"/>
        <w:textAlignment w:val="top"/>
        <w:rPr>
          <w:rFonts w:ascii="宋体" w:hAnsi="宋体" w:cs="宋体"/>
          <w:b/>
          <w:color w:val="FF0000"/>
          <w:kern w:val="0"/>
          <w:sz w:val="23"/>
          <w:szCs w:val="23"/>
        </w:rPr>
      </w:pPr>
      <w:r>
        <w:rPr>
          <w:rFonts w:hint="eastAsia" w:ascii="宋体" w:hAnsi="宋体" w:cs="宋体"/>
          <w:b/>
          <w:color w:val="FF0000"/>
          <w:kern w:val="0"/>
          <w:sz w:val="23"/>
          <w:szCs w:val="23"/>
        </w:rPr>
        <w:t>托运物的承运如包含空运及最终目的地国家或经停国家为非出发地国家，在不影响本条款和条件约定的前提下，《华沙公约》或《蒙特利尔公约》应适用（以强制适用者为准）。若在该公约不适用的情况下，乙方的责任均在任何情况下不会超过货物的申报价值，且不得超过以下各项中的较低者：</w:t>
      </w:r>
      <w:r>
        <w:rPr>
          <w:rFonts w:ascii="宋体" w:hAnsi="宋体" w:cs="宋体"/>
          <w:b/>
          <w:color w:val="FF0000"/>
          <w:kern w:val="0"/>
          <w:sz w:val="23"/>
          <w:szCs w:val="23"/>
        </w:rPr>
        <w:t xml:space="preserve">100 </w:t>
      </w:r>
      <w:r>
        <w:rPr>
          <w:rFonts w:hint="eastAsia" w:ascii="宋体" w:hAnsi="宋体" w:cs="宋体"/>
          <w:b/>
          <w:color w:val="FF0000"/>
          <w:kern w:val="0"/>
          <w:sz w:val="23"/>
          <w:szCs w:val="23"/>
        </w:rPr>
        <w:t>美元、或</w:t>
      </w:r>
      <w:r>
        <w:rPr>
          <w:rFonts w:ascii="宋体" w:hAnsi="宋体" w:cs="宋体"/>
          <w:b/>
          <w:color w:val="FF0000"/>
          <w:kern w:val="0"/>
          <w:sz w:val="23"/>
          <w:szCs w:val="23"/>
        </w:rPr>
        <w:t xml:space="preserve"> 20.00 </w:t>
      </w:r>
      <w:r>
        <w:rPr>
          <w:rFonts w:hint="eastAsia" w:ascii="宋体" w:hAnsi="宋体" w:cs="宋体"/>
          <w:b/>
          <w:color w:val="FF0000"/>
          <w:kern w:val="0"/>
          <w:sz w:val="23"/>
          <w:szCs w:val="23"/>
        </w:rPr>
        <w:t>美元</w:t>
      </w:r>
      <w:r>
        <w:rPr>
          <w:rFonts w:ascii="宋体" w:hAnsi="宋体" w:cs="宋体"/>
          <w:b/>
          <w:color w:val="FF0000"/>
          <w:kern w:val="0"/>
          <w:sz w:val="23"/>
          <w:szCs w:val="23"/>
        </w:rPr>
        <w:t xml:space="preserve">/公斤或 9.07 </w:t>
      </w:r>
      <w:r>
        <w:rPr>
          <w:rFonts w:hint="eastAsia" w:ascii="宋体" w:hAnsi="宋体" w:cs="宋体"/>
          <w:b/>
          <w:color w:val="FF0000"/>
          <w:kern w:val="0"/>
          <w:sz w:val="23"/>
          <w:szCs w:val="23"/>
        </w:rPr>
        <w:t>美元</w:t>
      </w:r>
      <w:r>
        <w:rPr>
          <w:rFonts w:ascii="宋体" w:hAnsi="宋体" w:cs="宋体"/>
          <w:b/>
          <w:color w:val="FF0000"/>
          <w:kern w:val="0"/>
          <w:sz w:val="23"/>
          <w:szCs w:val="23"/>
        </w:rPr>
        <w:t>/磅。如托运物的承运包含空运、陆运或其他方式运送，除非另有证据，否则任何损失或损害将被推定在空运阶段发生。</w:t>
      </w:r>
    </w:p>
    <w:p>
      <w:pPr>
        <w:widowControl/>
        <w:spacing w:before="100" w:beforeAutospacing="1" w:after="156"/>
        <w:ind w:firstLine="460"/>
        <w:jc w:val="left"/>
        <w:textAlignment w:val="top"/>
        <w:rPr>
          <w:rFonts w:ascii="宋体" w:hAnsi="宋体" w:cs="宋体"/>
          <w:b/>
          <w:color w:val="FF0000"/>
          <w:kern w:val="0"/>
          <w:sz w:val="23"/>
          <w:szCs w:val="23"/>
        </w:rPr>
      </w:pPr>
      <w:r>
        <w:rPr>
          <w:rFonts w:hint="eastAsia" w:ascii="宋体" w:hAnsi="宋体" w:cs="宋体"/>
          <w:b/>
          <w:color w:val="FF0000"/>
          <w:kern w:val="0"/>
          <w:sz w:val="23"/>
          <w:szCs w:val="23"/>
        </w:rPr>
        <w:t>如以陆路运送的快递快运，乙方的责任将根据国际公路货物运送公约执行，或如国际公路货物运送公约不适用的情况下，乙方的责任均在任何情况下不会超过货物的申报价值，且不得超过以下各项中的较低者：</w:t>
      </w:r>
      <w:r>
        <w:rPr>
          <w:rFonts w:ascii="宋体" w:hAnsi="宋体" w:cs="宋体"/>
          <w:b/>
          <w:color w:val="FF0000"/>
          <w:kern w:val="0"/>
          <w:sz w:val="23"/>
          <w:szCs w:val="23"/>
        </w:rPr>
        <w:t xml:space="preserve">100 </w:t>
      </w:r>
      <w:r>
        <w:rPr>
          <w:rFonts w:hint="eastAsia" w:ascii="宋体" w:hAnsi="宋体" w:cs="宋体"/>
          <w:b/>
          <w:color w:val="FF0000"/>
          <w:kern w:val="0"/>
          <w:sz w:val="23"/>
          <w:szCs w:val="23"/>
        </w:rPr>
        <w:t>美元、或</w:t>
      </w:r>
      <w:r>
        <w:rPr>
          <w:rFonts w:ascii="宋体" w:hAnsi="宋体" w:cs="宋体"/>
          <w:b/>
          <w:color w:val="FF0000"/>
          <w:kern w:val="0"/>
          <w:sz w:val="23"/>
          <w:szCs w:val="23"/>
        </w:rPr>
        <w:t xml:space="preserve"> 10.00 </w:t>
      </w:r>
      <w:r>
        <w:rPr>
          <w:rFonts w:hint="eastAsia" w:ascii="宋体" w:hAnsi="宋体" w:cs="宋体"/>
          <w:b/>
          <w:color w:val="FF0000"/>
          <w:kern w:val="0"/>
          <w:sz w:val="23"/>
          <w:szCs w:val="23"/>
        </w:rPr>
        <w:t>美元</w:t>
      </w:r>
      <w:r>
        <w:rPr>
          <w:rFonts w:ascii="宋体" w:hAnsi="宋体" w:cs="宋体"/>
          <w:b/>
          <w:color w:val="FF0000"/>
          <w:kern w:val="0"/>
          <w:sz w:val="23"/>
          <w:szCs w:val="23"/>
        </w:rPr>
        <w:t xml:space="preserve">/公斤或 4.54 </w:t>
      </w:r>
      <w:r>
        <w:rPr>
          <w:rFonts w:hint="eastAsia" w:ascii="宋体" w:hAnsi="宋体" w:cs="宋体"/>
          <w:b/>
          <w:color w:val="FF0000"/>
          <w:kern w:val="0"/>
          <w:sz w:val="23"/>
          <w:szCs w:val="23"/>
        </w:rPr>
        <w:t>美元</w:t>
      </w:r>
      <w:r>
        <w:rPr>
          <w:rFonts w:ascii="宋体" w:hAnsi="宋体" w:cs="宋体"/>
          <w:b/>
          <w:color w:val="FF0000"/>
          <w:kern w:val="0"/>
          <w:sz w:val="23"/>
          <w:szCs w:val="23"/>
        </w:rPr>
        <w:t>/磅。该责任限制同样适用于在国内公路运输情形下不存在根据国内运输法律具有强制适用或更低责任标准的情况。</w:t>
      </w:r>
    </w:p>
    <w:p>
      <w:pPr>
        <w:widowControl/>
        <w:spacing w:before="100" w:beforeAutospacing="1" w:after="156"/>
        <w:ind w:firstLine="460"/>
        <w:jc w:val="left"/>
        <w:textAlignment w:val="top"/>
        <w:rPr>
          <w:rFonts w:ascii="宋体" w:hAnsi="宋体" w:cs="宋体"/>
          <w:b/>
          <w:color w:val="FF0000"/>
          <w:kern w:val="0"/>
          <w:sz w:val="23"/>
          <w:szCs w:val="23"/>
        </w:rPr>
      </w:pPr>
      <w:r>
        <w:rPr>
          <w:rFonts w:hint="eastAsia" w:ascii="宋体" w:hAnsi="宋体" w:cs="宋体"/>
          <w:b/>
          <w:color w:val="FF0000"/>
          <w:kern w:val="0"/>
          <w:sz w:val="23"/>
          <w:szCs w:val="23"/>
        </w:rPr>
        <w:t>如以其他方式运输的快递，乙方的责任均在任何情况下不会超过货物的申报价值，且不得超过以下各项中的较低者：</w:t>
      </w:r>
      <w:r>
        <w:rPr>
          <w:rFonts w:ascii="宋体" w:hAnsi="宋体" w:cs="宋体"/>
          <w:b/>
          <w:color w:val="FF0000"/>
          <w:kern w:val="0"/>
          <w:sz w:val="23"/>
          <w:szCs w:val="23"/>
        </w:rPr>
        <w:t xml:space="preserve">100 </w:t>
      </w:r>
      <w:r>
        <w:rPr>
          <w:rFonts w:hint="eastAsia" w:ascii="宋体" w:hAnsi="宋体" w:cs="宋体"/>
          <w:b/>
          <w:color w:val="FF0000"/>
          <w:kern w:val="0"/>
          <w:sz w:val="23"/>
          <w:szCs w:val="23"/>
        </w:rPr>
        <w:t>美元、或</w:t>
      </w:r>
      <w:r>
        <w:rPr>
          <w:rFonts w:ascii="宋体" w:hAnsi="宋体" w:cs="宋体"/>
          <w:b/>
          <w:color w:val="FF0000"/>
          <w:kern w:val="0"/>
          <w:sz w:val="23"/>
          <w:szCs w:val="23"/>
        </w:rPr>
        <w:t xml:space="preserve"> 10.00 </w:t>
      </w:r>
      <w:r>
        <w:rPr>
          <w:rFonts w:hint="eastAsia" w:ascii="宋体" w:hAnsi="宋体" w:cs="宋体"/>
          <w:b/>
          <w:color w:val="FF0000"/>
          <w:kern w:val="0"/>
          <w:sz w:val="23"/>
          <w:szCs w:val="23"/>
        </w:rPr>
        <w:t>美元</w:t>
      </w:r>
      <w:r>
        <w:rPr>
          <w:rFonts w:ascii="宋体" w:hAnsi="宋体" w:cs="宋体"/>
          <w:b/>
          <w:color w:val="FF0000"/>
          <w:kern w:val="0"/>
          <w:sz w:val="23"/>
          <w:szCs w:val="23"/>
        </w:rPr>
        <w:t xml:space="preserve">/公斤或 4.54 </w:t>
      </w:r>
      <w:r>
        <w:rPr>
          <w:rFonts w:hint="eastAsia" w:ascii="宋体" w:hAnsi="宋体" w:cs="宋体"/>
          <w:b/>
          <w:color w:val="FF0000"/>
          <w:kern w:val="0"/>
          <w:sz w:val="23"/>
          <w:szCs w:val="23"/>
        </w:rPr>
        <w:t>美元</w:t>
      </w:r>
      <w:r>
        <w:rPr>
          <w:rFonts w:ascii="宋体" w:hAnsi="宋体" w:cs="宋体"/>
          <w:b/>
          <w:color w:val="FF0000"/>
          <w:kern w:val="0"/>
          <w:sz w:val="23"/>
          <w:szCs w:val="23"/>
        </w:rPr>
        <w:t>/磅。该责任限制同样适用于在国内公路运输情形下不存在根据国内运输法律具有强制适用或更低责任标准的情况。</w:t>
      </w:r>
    </w:p>
    <w:p>
      <w:pPr>
        <w:widowControl/>
        <w:spacing w:before="100" w:beforeAutospacing="1" w:after="156"/>
        <w:ind w:firstLine="460"/>
        <w:jc w:val="left"/>
        <w:textAlignment w:val="top"/>
        <w:rPr>
          <w:rFonts w:ascii="宋体" w:hAnsi="宋体" w:cs="宋体"/>
          <w:b/>
          <w:color w:val="FF0000"/>
          <w:kern w:val="0"/>
          <w:sz w:val="23"/>
          <w:szCs w:val="23"/>
        </w:rPr>
      </w:pPr>
      <w:r>
        <w:rPr>
          <w:rFonts w:hint="eastAsia" w:ascii="宋体" w:hAnsi="宋体" w:cs="宋体"/>
          <w:b/>
          <w:color w:val="FF0000"/>
          <w:kern w:val="0"/>
          <w:sz w:val="23"/>
          <w:szCs w:val="23"/>
        </w:rPr>
        <w:t>乙方若对托寄物进行全额理赔后，托寄物尚有残值的，归乙方所有。如托寄物归甲方所有，乙方有权在全部赔偿金额中直接扣减托寄物残值后向甲方赔付。</w:t>
      </w:r>
      <w:commentRangeEnd w:id="23"/>
      <w:r>
        <w:rPr>
          <w:rStyle w:val="30"/>
          <w:b/>
          <w:color w:val="FF0000"/>
          <w:lang w:val="zh-CN"/>
        </w:rPr>
        <w:commentReference w:id="23"/>
      </w:r>
    </w:p>
    <w:p>
      <w:pPr>
        <w:widowControl/>
        <w:spacing w:before="100" w:beforeAutospacing="1" w:after="156"/>
        <w:ind w:firstLine="460"/>
        <w:jc w:val="left"/>
        <w:rPr>
          <w:rFonts w:ascii="宋体" w:hAnsi="宋体" w:cs="宋体"/>
          <w:b/>
          <w:color w:val="FF0000"/>
          <w:kern w:val="0"/>
          <w:sz w:val="23"/>
          <w:szCs w:val="23"/>
        </w:rPr>
      </w:pPr>
      <w:r>
        <w:rPr>
          <w:rFonts w:ascii="宋体" w:hAnsi="宋体" w:cs="宋体"/>
          <w:b/>
          <w:color w:val="FF0000"/>
          <w:kern w:val="0"/>
          <w:sz w:val="23"/>
          <w:szCs w:val="23"/>
        </w:rPr>
        <w:t>7.2.3货物包装材料破损赔付</w:t>
      </w:r>
    </w:p>
    <w:p>
      <w:pPr>
        <w:widowControl/>
        <w:spacing w:before="100" w:beforeAutospacing="1" w:after="156"/>
        <w:ind w:firstLine="460"/>
        <w:jc w:val="left"/>
        <w:textAlignment w:val="top"/>
        <w:rPr>
          <w:rFonts w:ascii="宋体" w:hAnsi="宋体" w:cs="宋体"/>
          <w:b/>
          <w:color w:val="FF0000"/>
          <w:kern w:val="0"/>
          <w:sz w:val="23"/>
          <w:szCs w:val="23"/>
        </w:rPr>
      </w:pPr>
      <w:r>
        <w:rPr>
          <w:rFonts w:hint="eastAsia" w:ascii="宋体" w:hAnsi="宋体" w:cs="宋体"/>
          <w:b/>
          <w:color w:val="FF0000"/>
          <w:kern w:val="0"/>
          <w:sz w:val="23"/>
          <w:szCs w:val="23"/>
        </w:rPr>
        <w:t>因乙方过错造成甲方货物销售包装破损且内物完好的，乙方仅赔付包装材料的费用，且不超过货物成本价格的</w:t>
      </w:r>
      <w:r>
        <w:rPr>
          <w:rFonts w:ascii="宋体" w:hAnsi="宋体" w:cs="宋体"/>
          <w:b/>
          <w:color w:val="FF0000"/>
          <w:kern w:val="0"/>
          <w:sz w:val="23"/>
          <w:szCs w:val="23"/>
        </w:rPr>
        <w:t>10%或2倍运费（以低者为准），甲方需提供包装材料的费用证明及货物成本价格证明，金额以甲乙双方确认为准。</w:t>
      </w:r>
    </w:p>
    <w:p>
      <w:pPr>
        <w:widowControl/>
        <w:spacing w:before="100" w:beforeAutospacing="1" w:after="156"/>
        <w:ind w:firstLine="460"/>
        <w:jc w:val="left"/>
        <w:textAlignment w:val="top"/>
        <w:rPr>
          <w:rFonts w:ascii="宋体" w:hAnsi="宋体" w:cs="宋体"/>
          <w:b/>
          <w:color w:val="FF0000"/>
          <w:kern w:val="0"/>
          <w:sz w:val="23"/>
          <w:szCs w:val="23"/>
        </w:rPr>
      </w:pPr>
      <w:r>
        <w:rPr>
          <w:rFonts w:ascii="宋体" w:hAnsi="宋体" w:cs="宋体"/>
          <w:b/>
          <w:color w:val="FF0000"/>
          <w:kern w:val="0"/>
          <w:sz w:val="23"/>
          <w:szCs w:val="23"/>
        </w:rPr>
        <w:t>7.3因乙方责任造成货物丢失、破损的，甲方需在货物妥投后24小时内及时向乙方反馈异常，并附上相应证明材料，乙方需在7个工作日内给出处理意见。甲乙双方就实际损失赔偿数额达成一致且甲方提供完整的赔偿材料后进行赔付。</w:t>
      </w:r>
      <w:commentRangeEnd w:id="13"/>
      <w:r>
        <w:rPr>
          <w:rStyle w:val="30"/>
          <w:color w:val="FF0000"/>
          <w:lang w:val="zh-CN"/>
        </w:rPr>
        <w:commentReference w:id="13"/>
      </w:r>
    </w:p>
    <w:p>
      <w:pPr>
        <w:widowControl/>
        <w:spacing w:before="100" w:beforeAutospacing="1" w:after="156"/>
        <w:ind w:firstLine="460"/>
        <w:jc w:val="left"/>
        <w:rPr>
          <w:rFonts w:ascii="宋体" w:hAnsi="宋体" w:cs="宋体"/>
          <w:color w:val="FF0000"/>
          <w:kern w:val="0"/>
          <w:sz w:val="23"/>
          <w:szCs w:val="23"/>
        </w:rPr>
      </w:pPr>
      <w:r>
        <w:rPr>
          <w:rFonts w:ascii="宋体" w:hAnsi="宋体" w:cs="宋体"/>
          <w:b/>
          <w:bCs/>
          <w:color w:val="FF0000"/>
          <w:kern w:val="0"/>
          <w:sz w:val="23"/>
          <w:szCs w:val="23"/>
        </w:rPr>
        <w:t>8.免责条款</w:t>
      </w:r>
    </w:p>
    <w:p>
      <w:pPr>
        <w:widowControl/>
        <w:spacing w:before="100" w:beforeAutospacing="1" w:after="156"/>
        <w:ind w:firstLine="460"/>
        <w:jc w:val="left"/>
        <w:rPr>
          <w:rFonts w:ascii="宋体" w:hAnsi="宋体" w:cs="宋体"/>
          <w:color w:val="FF0000"/>
          <w:kern w:val="0"/>
          <w:sz w:val="23"/>
          <w:szCs w:val="23"/>
        </w:rPr>
      </w:pPr>
      <w:r>
        <w:rPr>
          <w:rFonts w:hint="eastAsia" w:ascii="宋体" w:hAnsi="宋体" w:cs="宋体"/>
          <w:b/>
          <w:bCs/>
          <w:color w:val="FF0000"/>
          <w:kern w:val="0"/>
          <w:sz w:val="23"/>
          <w:szCs w:val="23"/>
        </w:rPr>
        <w:t>乙方提供物流服务期间，因下列原因造成货物毁损灭失、延迟提供服务、无法提供服务的，乙方不承担赔偿责任：</w:t>
      </w:r>
    </w:p>
    <w:p>
      <w:pPr>
        <w:widowControl/>
        <w:spacing w:before="100" w:beforeAutospacing="1" w:after="156"/>
        <w:ind w:firstLine="460"/>
        <w:jc w:val="left"/>
        <w:rPr>
          <w:rFonts w:ascii="宋体" w:hAnsi="宋体" w:cs="宋体"/>
          <w:color w:val="FF0000"/>
          <w:kern w:val="0"/>
          <w:sz w:val="23"/>
          <w:szCs w:val="23"/>
        </w:rPr>
      </w:pPr>
      <w:r>
        <w:rPr>
          <w:rFonts w:ascii="宋体" w:hAnsi="宋体" w:cs="宋体"/>
          <w:b/>
          <w:bCs/>
          <w:color w:val="FF0000"/>
          <w:kern w:val="0"/>
          <w:sz w:val="23"/>
          <w:szCs w:val="23"/>
        </w:rPr>
        <w:t>8.1因不可抗力因素造成的。“不可抗力”是指无法预测、无法控制或无法避免的客观因素或意外事件，包括但不限于</w:t>
      </w:r>
      <w:r>
        <w:rPr>
          <w:rStyle w:val="30"/>
          <w:lang w:val="zh-CN"/>
        </w:rPr>
        <w:commentReference w:id="24"/>
      </w:r>
      <w:r>
        <w:rPr>
          <w:rFonts w:hint="eastAsia" w:ascii="宋体" w:hAnsi="宋体" w:cs="宋体"/>
          <w:b/>
          <w:bCs/>
          <w:color w:val="FF0000"/>
          <w:kern w:val="0"/>
          <w:sz w:val="23"/>
          <w:szCs w:val="23"/>
        </w:rPr>
        <w:t>极端</w:t>
      </w:r>
      <w:r>
        <w:rPr>
          <w:rFonts w:ascii="宋体" w:hAnsi="宋体" w:cs="宋体"/>
          <w:b/>
          <w:bCs/>
          <w:color w:val="FF0000"/>
          <w:kern w:val="0"/>
          <w:sz w:val="23"/>
          <w:szCs w:val="23"/>
        </w:rPr>
        <w:t>恶劣天气</w:t>
      </w:r>
      <w:r>
        <w:rPr>
          <w:rFonts w:hint="eastAsia" w:ascii="宋体" w:hAnsi="宋体" w:cs="宋体"/>
          <w:b/>
          <w:bCs/>
          <w:color w:val="FF0000"/>
          <w:kern w:val="0"/>
          <w:sz w:val="23"/>
          <w:szCs w:val="23"/>
        </w:rPr>
        <w:t>、</w:t>
      </w:r>
      <w:r>
        <w:rPr>
          <w:rFonts w:ascii="宋体" w:hAnsi="宋体" w:cs="宋体"/>
          <w:b/>
          <w:bCs/>
          <w:color w:val="FF0000"/>
          <w:kern w:val="0"/>
          <w:sz w:val="23"/>
          <w:szCs w:val="23"/>
        </w:rPr>
        <w:t>罢工、恐怖事件、发生重大疫情政府进行交通管制；</w:t>
      </w:r>
    </w:p>
    <w:p>
      <w:pPr>
        <w:widowControl/>
        <w:spacing w:before="100" w:beforeAutospacing="1" w:after="156"/>
        <w:ind w:firstLine="460"/>
        <w:jc w:val="left"/>
        <w:rPr>
          <w:rFonts w:ascii="宋体" w:hAnsi="宋体" w:cs="宋体"/>
          <w:color w:val="FF0000"/>
          <w:kern w:val="0"/>
          <w:sz w:val="23"/>
          <w:szCs w:val="23"/>
        </w:rPr>
      </w:pPr>
      <w:r>
        <w:rPr>
          <w:rFonts w:ascii="宋体" w:hAnsi="宋体" w:cs="宋体"/>
          <w:b/>
          <w:bCs/>
          <w:color w:val="FF0000"/>
          <w:kern w:val="0"/>
          <w:sz w:val="23"/>
          <w:szCs w:val="23"/>
        </w:rPr>
        <w:t>8.2因货物的自然性质、内在缺陷或合理损耗造成的；</w:t>
      </w:r>
    </w:p>
    <w:p>
      <w:pPr>
        <w:widowControl/>
        <w:spacing w:before="100" w:beforeAutospacing="1" w:after="156"/>
        <w:ind w:firstLine="460"/>
        <w:jc w:val="left"/>
        <w:rPr>
          <w:rFonts w:ascii="宋体" w:hAnsi="宋体" w:cs="宋体"/>
          <w:color w:val="FF0000"/>
          <w:kern w:val="0"/>
          <w:sz w:val="23"/>
          <w:szCs w:val="23"/>
        </w:rPr>
      </w:pPr>
      <w:r>
        <w:rPr>
          <w:rFonts w:ascii="宋体" w:hAnsi="宋体" w:cs="宋体"/>
          <w:b/>
          <w:bCs/>
          <w:color w:val="FF0000"/>
          <w:kern w:val="0"/>
          <w:sz w:val="23"/>
          <w:szCs w:val="23"/>
        </w:rPr>
        <w:t>8.3非乙方过错造成的，包括但不限于甲方没有如实申报货物资料，甲方交付的货物属于法律法规明文规定及本合同约定禁止或限制提供配送服务的，收货人迟延受领货物等情形；</w:t>
      </w:r>
    </w:p>
    <w:p>
      <w:pPr>
        <w:widowControl/>
        <w:spacing w:before="100" w:beforeAutospacing="1" w:after="156"/>
        <w:ind w:firstLine="462"/>
        <w:jc w:val="left"/>
        <w:rPr>
          <w:rFonts w:ascii="宋体" w:hAnsi="宋体" w:cs="宋体"/>
          <w:color w:val="FF0000"/>
          <w:kern w:val="0"/>
          <w:sz w:val="23"/>
          <w:szCs w:val="23"/>
        </w:rPr>
      </w:pPr>
      <w:r>
        <w:rPr>
          <w:rFonts w:ascii="宋体" w:hAnsi="宋体" w:cs="宋体"/>
          <w:b/>
          <w:bCs/>
          <w:color w:val="FF0000"/>
          <w:kern w:val="0"/>
          <w:sz w:val="23"/>
          <w:szCs w:val="23"/>
        </w:rPr>
        <w:t>8.4 </w:t>
      </w:r>
      <w:commentRangeStart w:id="25"/>
      <w:commentRangeStart w:id="26"/>
      <w:commentRangeStart w:id="27"/>
      <w:r>
        <w:rPr>
          <w:rFonts w:hint="eastAsia" w:ascii="宋体" w:hAnsi="宋体" w:cs="宋体"/>
          <w:b/>
          <w:bCs/>
          <w:color w:val="FF0000"/>
          <w:kern w:val="0"/>
          <w:sz w:val="23"/>
          <w:szCs w:val="23"/>
        </w:rPr>
        <w:t>外包装完好无拆封内物出现破损、短少的（乙方中小件仓发货且在物流系统未显示为使用甲方包装发货的货物除外）</w:t>
      </w:r>
      <w:commentRangeEnd w:id="25"/>
      <w:r>
        <w:rPr>
          <w:rStyle w:val="30"/>
          <w:color w:val="FF0000"/>
          <w:lang w:val="zh-CN"/>
        </w:rPr>
        <w:commentReference w:id="25"/>
      </w:r>
      <w:commentRangeEnd w:id="26"/>
      <w:r>
        <w:rPr>
          <w:rStyle w:val="30"/>
          <w:color w:val="FF0000"/>
          <w:lang w:val="zh-CN"/>
        </w:rPr>
        <w:commentReference w:id="26"/>
      </w:r>
      <w:commentRangeEnd w:id="27"/>
      <w:r>
        <w:rPr>
          <w:rStyle w:val="30"/>
          <w:lang w:val="zh-CN"/>
        </w:rPr>
        <w:commentReference w:id="27"/>
      </w:r>
      <w:r>
        <w:rPr>
          <w:rFonts w:hint="eastAsia" w:ascii="宋体" w:hAnsi="宋体" w:cs="宋体"/>
          <w:b/>
          <w:bCs/>
          <w:color w:val="FF0000"/>
          <w:kern w:val="0"/>
          <w:sz w:val="23"/>
          <w:szCs w:val="23"/>
        </w:rPr>
        <w:t>。</w:t>
      </w:r>
      <w:r>
        <w:rPr>
          <w:rFonts w:hint="eastAsia" w:cs="宋体" w:asciiTheme="minorEastAsia" w:hAnsiTheme="minorEastAsia" w:eastAsiaTheme="minorEastAsia"/>
          <w:b/>
          <w:bCs/>
          <w:color w:val="FF0000"/>
          <w:kern w:val="0"/>
          <w:sz w:val="23"/>
          <w:szCs w:val="23"/>
        </w:rPr>
        <w:t>乙方中小件仓发货，</w:t>
      </w:r>
      <w:bookmarkStart w:id="4" w:name="_Hlk153981333"/>
      <w:r>
        <w:rPr>
          <w:rFonts w:hint="eastAsia" w:cs="宋体" w:asciiTheme="minorEastAsia" w:hAnsiTheme="minorEastAsia" w:eastAsiaTheme="minorEastAsia"/>
          <w:b/>
          <w:bCs/>
          <w:color w:val="FF0000"/>
          <w:kern w:val="0"/>
          <w:sz w:val="23"/>
          <w:szCs w:val="23"/>
        </w:rPr>
        <w:t>出库使用甲方包装即原包发货的货物，出现</w:t>
      </w:r>
      <w:bookmarkEnd w:id="4"/>
      <w:r>
        <w:rPr>
          <w:rFonts w:hint="eastAsia" w:cs="宋体" w:asciiTheme="minorEastAsia" w:hAnsiTheme="minorEastAsia" w:eastAsiaTheme="minorEastAsia"/>
          <w:b/>
          <w:bCs/>
          <w:color w:val="FF0000"/>
          <w:kern w:val="0"/>
          <w:sz w:val="23"/>
          <w:szCs w:val="23"/>
        </w:rPr>
        <w:t>外包装完好无拆封，内物出现破损、短少的，乙方免责。是否原包发货，以乙方物流系统上订单显示为准。</w:t>
      </w:r>
    </w:p>
    <w:p>
      <w:pPr>
        <w:widowControl/>
        <w:spacing w:before="100" w:beforeAutospacing="1" w:after="156"/>
        <w:ind w:firstLine="460"/>
        <w:jc w:val="left"/>
        <w:rPr>
          <w:rFonts w:ascii="宋体" w:hAnsi="宋体" w:cs="宋体"/>
          <w:color w:val="FF0000"/>
          <w:kern w:val="0"/>
          <w:sz w:val="23"/>
          <w:szCs w:val="23"/>
        </w:rPr>
      </w:pPr>
      <w:r>
        <w:rPr>
          <w:rFonts w:ascii="宋体" w:hAnsi="宋体" w:cs="宋体"/>
          <w:b/>
          <w:bCs/>
          <w:color w:val="FF0000"/>
          <w:kern w:val="0"/>
          <w:sz w:val="23"/>
          <w:szCs w:val="23"/>
        </w:rPr>
        <w:t>8.5生鲜类产品寄递生鲜物品时，承诺时效内送达货物腐烂、变质的。</w:t>
      </w:r>
    </w:p>
    <w:p>
      <w:pPr>
        <w:widowControl/>
        <w:spacing w:before="100" w:beforeAutospacing="1" w:after="156"/>
        <w:ind w:firstLine="460"/>
        <w:jc w:val="left"/>
        <w:rPr>
          <w:rFonts w:ascii="宋体" w:hAnsi="宋体" w:cs="宋体"/>
          <w:color w:val="FF0000"/>
          <w:kern w:val="0"/>
          <w:sz w:val="23"/>
          <w:szCs w:val="23"/>
        </w:rPr>
      </w:pPr>
      <w:r>
        <w:rPr>
          <w:rFonts w:ascii="宋体" w:hAnsi="宋体" w:cs="宋体"/>
          <w:b/>
          <w:bCs/>
          <w:color w:val="FF0000"/>
          <w:kern w:val="0"/>
          <w:sz w:val="23"/>
          <w:szCs w:val="23"/>
        </w:rPr>
        <w:t>8.6物毁损灭失的，保险公司已经向甲方或第三方承担或许诺承担保险理赔责任后，乙方在此范围内不再承担赔偿责任；对于非乙方原因造成的货物毁损、灭失的，保险公司拒赔或部分拒赔时的拒赔部分乙方不负责赔偿。</w:t>
      </w:r>
    </w:p>
    <w:p>
      <w:pPr>
        <w:widowControl/>
        <w:spacing w:before="100" w:beforeAutospacing="1" w:after="156"/>
        <w:ind w:firstLine="460"/>
        <w:jc w:val="left"/>
        <w:rPr>
          <w:rFonts w:ascii="宋体" w:hAnsi="宋体" w:cs="宋体"/>
          <w:b/>
          <w:bCs/>
          <w:color w:val="FF0000"/>
          <w:kern w:val="0"/>
          <w:sz w:val="23"/>
          <w:szCs w:val="23"/>
        </w:rPr>
      </w:pPr>
      <w:r>
        <w:rPr>
          <w:rFonts w:ascii="宋体" w:hAnsi="宋体" w:cs="宋体"/>
          <w:b/>
          <w:bCs/>
          <w:color w:val="FF0000"/>
          <w:kern w:val="0"/>
          <w:sz w:val="23"/>
          <w:szCs w:val="23"/>
        </w:rPr>
        <w:t>8.7乙方提供仓储服务时，乙方仓库与甲方定期核对并调整一次库存差异。双方对彼此确认的库存差异进行清算，并根据清算结果调整双方库存差异。</w:t>
      </w:r>
    </w:p>
    <w:p>
      <w:pPr>
        <w:widowControl/>
        <w:spacing w:before="100" w:beforeAutospacing="1" w:after="156"/>
        <w:ind w:firstLine="460"/>
        <w:jc w:val="left"/>
        <w:textAlignment w:val="center"/>
        <w:rPr>
          <w:rFonts w:ascii="宋体" w:hAnsi="宋体" w:cs="宋体"/>
          <w:color w:val="000000"/>
          <w:kern w:val="0"/>
          <w:sz w:val="23"/>
          <w:szCs w:val="23"/>
        </w:rPr>
      </w:pPr>
      <w:r>
        <w:rPr>
          <w:rFonts w:hint="eastAsia" w:ascii="宋体" w:hAnsi="宋体" w:cs="宋体"/>
          <w:color w:val="000000"/>
          <w:kern w:val="0"/>
          <w:sz w:val="23"/>
          <w:szCs w:val="23"/>
        </w:rPr>
        <w:t>9.违约责任</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9.1对于甲方拖欠乙方物流服务费及相关费用（若有）的，乙方有权要求甲方每日按照所拖欠总金额的5‰作为逾期违约金。当甲方拖欠乙方全部或部分费用超过15日时 ，乙方有权直接终止本合同，由此所产生的双方所有损失由甲方承担；</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9.2甲方因违反本合同规定的义务导致乙方遭受政府部门、机场、港口管理部门等机构采取强制措施、行政处罚，或遭受第三人索赔的，甲方应赔偿乙方所遭受的所有损失，赔偿范围包括但不限于损害赔偿金、行政机关的处罚及相应的诉讼、律师、鉴定、差旅等费用；</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9.3因甲方货物属于或含有禁止或限制寄递物品而被查没、扣留或变更快递路线，导致其他货物时效延误或价值丧失，给乙方或/及第三人造成经济损失的，甲方应承担赔偿责任。</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9.4由于甲方货物的包装破损或质量缺陷，致使其他货物或运输工具、机械设备被污染腐蚀、损坏或造成人身伤亡的，甲方应负赔偿责任。</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9.5甲方未按约定备好货物或未提供装卸的，以及货物运达后无人收货或拒绝收货，造成乙方车辆放空、延滞及其他损失的，甲方应负赔偿责任。</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9.6甲方未履行本合同约定的义务，乙方有权要求甲方立即纠正、采取补救措施，经乙方书面催告后合理期间仍不履行的，乙方有权解除合同，且同时要求甲方支付人民币十万元的违约金，该违约金不足以弥补损失的，还应予以赔偿。</w:t>
      </w:r>
    </w:p>
    <w:p>
      <w:pPr>
        <w:widowControl/>
        <w:spacing w:before="100" w:beforeAutospacing="1" w:after="156"/>
        <w:ind w:firstLine="460"/>
        <w:jc w:val="left"/>
        <w:rPr>
          <w:rFonts w:ascii="宋体" w:hAnsi="宋体" w:cs="宋体"/>
          <w:b/>
          <w:color w:val="000000"/>
          <w:kern w:val="0"/>
          <w:sz w:val="23"/>
          <w:szCs w:val="23"/>
        </w:rPr>
      </w:pPr>
      <w:commentRangeStart w:id="28"/>
      <w:r>
        <w:rPr>
          <w:rFonts w:hint="eastAsia" w:ascii="宋体" w:hAnsi="宋体" w:cs="宋体"/>
          <w:b/>
          <w:color w:val="000000"/>
          <w:kern w:val="0"/>
          <w:sz w:val="23"/>
          <w:szCs w:val="23"/>
        </w:rPr>
        <w:t>9.7甲方不得利用乙方提供的服务项目以营利为目的为任何第三方付款或从事物流服务揽收行为，否则一经发现，乙方可立即解除本合同并要求甲方补偿差价，甲方还需承担涉及运单物流费用的10倍金额作为违约金。</w:t>
      </w:r>
      <w:commentRangeEnd w:id="28"/>
      <w:r>
        <w:rPr>
          <w:rStyle w:val="30"/>
          <w:lang w:val="zh-CN"/>
        </w:rPr>
        <w:commentReference w:id="28"/>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9.8除上述约定外，甲方违反本合同约定的其他义务给乙方或/及任何第三方造成损失的，甲方应承担全部赔偿责任。</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9.9在任何情况下，违约方只负责赔偿守约方因此遭受的直接经济损失，违约方不应当被要求承担守约方包括但不限于商业信誉、利润、市场、份额等在内的任何间接损失。</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10.保密与反商业贿赂条款</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10.1甲方及甲方工作人员，保证对从乙方取得且无法自公开渠道获得的商业秘密（包括但不限于产品价格、技术信息、经营信息）予以保密。未经乙方或商业秘密提供者的书面许可，甲方不得向任何第三方泄露该商业秘密的全部或部分内容。否则应向乙方赔偿由于商业秘密泄露所造成的经济损失。保密期限直至该保密信息由提供者公开为止。</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10.2甲方及甲方工作人员在合作期间，未经乙方另行书面授权，不得自行或允许他人对外披露与乙方的合作事宜，不得使用乙方包含保密信息在内的任何专利申请权或专利权、商标权、著作权等知识产权，或该知识产权的使用权。</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10.3甲方同意遵守乙方官方网站所公示的隐私政策及其不时修订的内容，并且同意乙方及关联公司按照法律规定和隐私政策收集、保管、使用、存储、披露及传输甲方提供的物流信息。</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10.4双方公司及工作人员在合作期间，应依法办事、廉洁自律，应避免与对方发生利益冲突，且不得自行或通过第三方为谋求交易机会或竞争优势及其他合作的利益，向对方公司及员工进行商业贿赂，包括但不限于提供一切物质及精神上的直接或间接的不正当利益。其中不正当利益包括物质性利益和非物质性利益。</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10.5甲方违反以上保密及廉洁义务，经调查属实，乙方有权终止合同履行，且可以要求甲方消除影响、赔礼道歉、赔偿乙方因此造成的全部损失及费用支出，并可将甲方列入不合格合作伙伴名单，不再进行合作。</w:t>
      </w:r>
    </w:p>
    <w:p>
      <w:pPr>
        <w:widowControl/>
        <w:spacing w:before="100" w:beforeAutospacing="1" w:after="156"/>
        <w:ind w:firstLine="460"/>
        <w:jc w:val="left"/>
        <w:rPr>
          <w:rFonts w:ascii="宋体" w:hAnsi="宋体" w:cs="宋体"/>
          <w:b/>
          <w:color w:val="000000"/>
          <w:kern w:val="0"/>
          <w:sz w:val="23"/>
          <w:szCs w:val="23"/>
        </w:rPr>
      </w:pPr>
      <w:r>
        <w:rPr>
          <w:rFonts w:hint="eastAsia" w:ascii="宋体" w:hAnsi="宋体" w:cs="宋体"/>
          <w:b/>
          <w:color w:val="000000"/>
          <w:kern w:val="0"/>
          <w:sz w:val="23"/>
          <w:szCs w:val="23"/>
        </w:rPr>
        <w:t>11.通知与送达</w:t>
      </w:r>
      <w:bookmarkStart w:id="5" w:name="_Hlk149147585"/>
      <w:r>
        <w:rPr>
          <w:rFonts w:ascii="宋体" w:hAnsi="宋体" w:cs="宋体"/>
          <w:b/>
          <w:color w:val="000000"/>
          <w:kern w:val="0"/>
          <w:sz w:val="23"/>
          <w:szCs w:val="23"/>
        </w:rPr>
        <w:t xml:space="preserve"> </w:t>
      </w:r>
    </w:p>
    <w:bookmarkEnd w:id="5"/>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11.1合同履行过程中，一方传递给另一方的通知；或在诉讼程序中，法院对一方或双方进行书面通知的，按照本合同约定或甲方在乙方系统中填写的地址进行送达。书面通知的形式包括但不限于专人送达、挂号信、快递等形式，及电子邮件手机短信、传真、系统通知等电子方式，在采用电子方式进行书面通知的情况下发送即视为送达。</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11.2该联系方式下进行的本合同有关的行为视为甲方授权行为。如一方联系人、联系地址、电话、传真和电子邮箱任何一项发生变更，有义务及时通知另一方。如一方的通讯地址有误或者未按照本条的规定履行变更通知义务或接收通知的一方拒收，则通知或函件被退回之日视为送达日。</w:t>
      </w:r>
    </w:p>
    <w:p>
      <w:pPr>
        <w:widowControl/>
        <w:spacing w:before="100" w:beforeAutospacing="1" w:after="156"/>
        <w:ind w:firstLine="460"/>
        <w:jc w:val="left"/>
        <w:rPr>
          <w:rFonts w:ascii="宋体" w:hAnsi="宋体" w:cs="宋体"/>
          <w:b/>
          <w:kern w:val="0"/>
          <w:sz w:val="23"/>
          <w:szCs w:val="23"/>
        </w:rPr>
      </w:pPr>
      <w:r>
        <w:rPr>
          <w:rFonts w:hint="eastAsia" w:ascii="宋体" w:hAnsi="宋体" w:cs="宋体"/>
          <w:b/>
          <w:color w:val="000000"/>
          <w:kern w:val="0"/>
          <w:sz w:val="23"/>
          <w:szCs w:val="23"/>
        </w:rPr>
        <w:t>1</w:t>
      </w:r>
      <w:r>
        <w:rPr>
          <w:rFonts w:ascii="宋体" w:hAnsi="宋体" w:cs="宋体"/>
          <w:b/>
          <w:color w:val="000000"/>
          <w:kern w:val="0"/>
          <w:sz w:val="23"/>
          <w:szCs w:val="23"/>
        </w:rPr>
        <w:t>1.3</w:t>
      </w:r>
      <w:commentRangeStart w:id="29"/>
      <w:r>
        <w:rPr>
          <w:rFonts w:hint="eastAsia" w:ascii="宋体" w:hAnsi="宋体" w:cs="宋体"/>
          <w:b/>
          <w:kern w:val="0"/>
          <w:sz w:val="23"/>
          <w:szCs w:val="23"/>
        </w:rPr>
        <w:t>甲方确认在乙方签约平台注册预留</w:t>
      </w:r>
      <w:commentRangeStart w:id="30"/>
      <w:bookmarkStart w:id="6" w:name="_Hlk151368348"/>
      <w:r>
        <w:rPr>
          <w:rFonts w:hint="eastAsia" w:ascii="宋体" w:hAnsi="宋体" w:cs="宋体"/>
          <w:b/>
          <w:kern w:val="0"/>
          <w:sz w:val="23"/>
          <w:szCs w:val="23"/>
        </w:rPr>
        <w:t>或</w:t>
      </w:r>
      <w:commentRangeEnd w:id="30"/>
      <w:r>
        <w:rPr>
          <w:rStyle w:val="30"/>
          <w:lang w:val="zh-CN"/>
        </w:rPr>
        <w:commentReference w:id="30"/>
      </w:r>
      <w:r>
        <w:rPr>
          <w:rFonts w:hint="eastAsia" w:ascii="宋体" w:hAnsi="宋体" w:cs="宋体"/>
          <w:b/>
          <w:kern w:val="0"/>
          <w:sz w:val="23"/>
          <w:szCs w:val="23"/>
        </w:rPr>
        <w:t>本合同约定</w:t>
      </w:r>
      <w:bookmarkEnd w:id="6"/>
      <w:r>
        <w:rPr>
          <w:rFonts w:hint="eastAsia" w:ascii="宋体" w:hAnsi="宋体" w:cs="宋体"/>
          <w:b/>
          <w:kern w:val="0"/>
          <w:sz w:val="23"/>
          <w:szCs w:val="23"/>
        </w:rPr>
        <w:t>的邮箱、电话作为接收账单、司法送达的通讯方式，甲方应填写正确的邮箱及电话以便能接收到邮件或信息，如因甲方原因导致无法送达邮件或信息，所产生的不利后果由甲方承担。甲方变更邮箱及电话需书面告知乙方，如未告知导致无法收到信息，所产生的不利后果由甲方承担。</w:t>
      </w:r>
      <w:commentRangeEnd w:id="29"/>
      <w:r>
        <w:rPr>
          <w:rStyle w:val="30"/>
          <w:b/>
          <w:lang w:val="zh-CN"/>
        </w:rPr>
        <w:commentReference w:id="29"/>
      </w:r>
    </w:p>
    <w:p>
      <w:pPr>
        <w:widowControl/>
        <w:spacing w:before="100" w:beforeAutospacing="1" w:after="156"/>
        <w:ind w:firstLine="460"/>
        <w:jc w:val="left"/>
        <w:rPr>
          <w:rFonts w:ascii="宋体" w:hAnsi="宋体" w:cs="宋体"/>
          <w:color w:val="000000"/>
          <w:kern w:val="0"/>
          <w:sz w:val="23"/>
          <w:szCs w:val="23"/>
        </w:rPr>
      </w:pPr>
    </w:p>
    <w:p>
      <w:pPr>
        <w:widowControl/>
        <w:spacing w:before="100" w:beforeAutospacing="1" w:after="156"/>
        <w:ind w:firstLine="460"/>
        <w:jc w:val="left"/>
        <w:textAlignment w:val="center"/>
        <w:rPr>
          <w:rFonts w:ascii="宋体" w:hAnsi="宋体" w:cs="宋体"/>
          <w:color w:val="000000"/>
          <w:kern w:val="0"/>
          <w:sz w:val="23"/>
          <w:szCs w:val="23"/>
        </w:rPr>
      </w:pPr>
      <w:r>
        <w:rPr>
          <w:rFonts w:hint="eastAsia" w:ascii="宋体" w:hAnsi="宋体" w:cs="宋体"/>
          <w:color w:val="000000"/>
          <w:kern w:val="0"/>
          <w:sz w:val="23"/>
          <w:szCs w:val="23"/>
        </w:rPr>
        <w:t>12.合同有效期与终止</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12.1本合同在双方签署之日起生效，有效期一年。</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12.2合同期内，一方如需提前终止本合同，应当提前七个自然日向对方发出书面通知，且不承担任何违约责任。</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12.3一方发生下述情况的，另一方有权单方通知立即终止合同，造成损失的，责任方应负责赔偿：</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12.3.1破产；</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12.3.2申请或被申请清算，但公司重组或合并除外；</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12.3.3在企业、资产或其任何部分上设立清算人、接收人或管理人、法庭指定管理人；</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12.3.4一方公司资本总额或资产的50%或以上被政府有关部门征收或征用；</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12.3.5一方或其员工、代理人或分包商存在欺诈、渎职、不诚实行为的；或其他任何足以造成无过错方的利益或名誉受损的行为。</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12.3.6一方做出不利于对方品牌的言论和行动，影响对方品牌声誉；</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12.4在下列事件发生时，守约方通知违约方后要求期限内未整改的/整改不合格的，期限届满时解除本合同，给守约方造成损失的，违约方应负责赔偿：</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12.4.1对方存在实质性违约行为（包括但不限于甲方不履行付款义务），且该违约行为未能在收到无过错方通知后15日内纠正；</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12.4.2甲方在未经乙方审核确认下使用乙方相关商标、商号或超范围使用的，且该违约行为未能在收到乙方通知后15日内纠正；</w:t>
      </w:r>
    </w:p>
    <w:p>
      <w:pPr>
        <w:widowControl/>
        <w:spacing w:before="100" w:beforeAutospacing="1" w:after="156"/>
        <w:ind w:firstLine="460"/>
        <w:jc w:val="left"/>
        <w:rPr>
          <w:rFonts w:ascii="宋体" w:hAnsi="宋体" w:cs="宋体"/>
          <w:color w:val="000000"/>
          <w:kern w:val="0"/>
          <w:sz w:val="23"/>
          <w:szCs w:val="23"/>
        </w:rPr>
      </w:pPr>
      <w:r>
        <w:rPr>
          <w:rStyle w:val="30"/>
          <w:lang w:val="zh-CN"/>
        </w:rPr>
        <w:commentReference w:id="31"/>
      </w:r>
    </w:p>
    <w:p>
      <w:pPr>
        <w:widowControl/>
        <w:ind w:firstLine="460"/>
        <w:rPr>
          <w:rFonts w:ascii="宋体" w:hAnsi="宋体" w:cs="宋体"/>
          <w:color w:val="000000"/>
          <w:kern w:val="0"/>
          <w:sz w:val="23"/>
          <w:szCs w:val="23"/>
        </w:rPr>
      </w:pPr>
      <w:r>
        <w:rPr>
          <w:rFonts w:hint="eastAsia" w:ascii="宋体" w:hAnsi="宋体" w:cs="宋体"/>
          <w:color w:val="000000"/>
          <w:kern w:val="0"/>
          <w:sz w:val="23"/>
          <w:szCs w:val="23"/>
        </w:rPr>
        <w:t>12.5 合同期内，甲方连续三个月物流服务费用总额不足1000元，乙方有权提前10日通知甲方终止该合同约定的月结权益。甲方选择继续发货的，可以选择预存款或者现结方式支付费用。</w:t>
      </w:r>
    </w:p>
    <w:p>
      <w:pPr>
        <w:widowControl/>
        <w:rPr>
          <w:rFonts w:ascii="宋体" w:hAnsi="宋体" w:cs="宋体"/>
          <w:color w:val="000000"/>
          <w:kern w:val="0"/>
          <w:sz w:val="23"/>
          <w:szCs w:val="23"/>
        </w:rPr>
      </w:pPr>
      <w:commentRangeStart w:id="32"/>
      <w:r>
        <w:rPr>
          <w:rFonts w:hint="eastAsia" w:ascii="宋体" w:hAnsi="宋体" w:cs="宋体"/>
          <w:color w:val="000000"/>
          <w:kern w:val="0"/>
          <w:sz w:val="23"/>
          <w:szCs w:val="23"/>
        </w:rPr>
        <w:t>1</w:t>
      </w:r>
      <w:r>
        <w:rPr>
          <w:rFonts w:ascii="宋体" w:hAnsi="宋体" w:cs="宋体"/>
          <w:color w:val="000000"/>
          <w:kern w:val="0"/>
          <w:sz w:val="23"/>
          <w:szCs w:val="23"/>
        </w:rPr>
        <w:t>2.6</w:t>
      </w:r>
      <w:r>
        <w:rPr>
          <w:rFonts w:hint="eastAsia" w:ascii="宋体" w:hAnsi="宋体" w:cs="宋体"/>
          <w:color w:val="000000"/>
          <w:kern w:val="0"/>
          <w:sz w:val="23"/>
          <w:szCs w:val="23"/>
        </w:rPr>
        <w:t>合同期内，甲方发货异常（如单量暴增、异地发货），乙方有权采取相应的管控措施，甲方可提出异议并做出说明，甲方选择继续发货的，可以选择预存款或者现结方式支付费用。</w:t>
      </w:r>
      <w:commentRangeEnd w:id="32"/>
      <w:r>
        <w:rPr>
          <w:rStyle w:val="30"/>
          <w:lang w:val="zh-CN"/>
        </w:rPr>
        <w:commentReference w:id="32"/>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12.6当合同终止时：</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12.6.1任何一方均应将对方的保密文件原封不动地归还对方；</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12.6.2合同终止不能免除双方在合同期间未执行完的义务，也不能免除双方依据合同要求应获得而未获得的赔偿和补偿。</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12.6.3合同终止时，不影响本合同的结算条款、保密条款、损坏赔偿及合同纠纷解决条款的各项权利和义务。</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12.6.4甲方应于合同终止日起12个自然日内（含）取走存储及/或委托乙方配送的货物，逾期乙方将不承担滞留货物的保管责任，货物毁损、灭失风险由甲方承担，若因此给乙方造成的所有损失由甲方承担。</w:t>
      </w:r>
    </w:p>
    <w:p>
      <w:pPr>
        <w:widowControl/>
        <w:spacing w:before="100" w:beforeAutospacing="1" w:after="156"/>
        <w:ind w:firstLine="460"/>
        <w:jc w:val="left"/>
        <w:rPr>
          <w:rFonts w:ascii="宋体" w:hAnsi="宋体" w:cs="宋体"/>
          <w:b/>
          <w:color w:val="000000"/>
          <w:kern w:val="0"/>
          <w:sz w:val="23"/>
          <w:szCs w:val="23"/>
        </w:rPr>
      </w:pPr>
      <w:r>
        <w:rPr>
          <w:rFonts w:hint="eastAsia" w:ascii="宋体" w:hAnsi="宋体" w:cs="宋体"/>
          <w:b/>
          <w:color w:val="000000"/>
          <w:kern w:val="0"/>
          <w:sz w:val="23"/>
          <w:szCs w:val="23"/>
        </w:rPr>
        <w:t>13.其他</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13.1在合同期限内，任何一方被合并，改组、分立或转让，其受转让人或继承人应当履行该方在本合同下的义务和责任，不影响另一方或受让人、继承人根据本合同应当享有的权利和利益。</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13.2本合同及附件的修改和补充经合同双方协商一致后签署书面合同。</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13.3甲乙双方应通过友好协商，解决在执行协议中发生的一切争端。如协商无法达成一致的，提交乙方住所地有管辖权的人民院诉讼解决。</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13.4本合同一式肆份，甲乙各执贰份，自双方签字盖章之日起生效，具有同等法律效力。如附件内容与本合同约定不一致，以附件内容为准。</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13.5如本合同中的任何条款或某条款的部分内容被法庭或仲裁庭裁决无效或无法执行，则其它条款或条款部分对双方仍然有效。</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13.6如双方使用第三方电子认证服务公司提供的电子签章方式签署电子合同，则双方均可下载保存，电子合同文档不可被篡改，且具有法律约束力。</w:t>
      </w:r>
    </w:p>
    <w:p>
      <w:pPr>
        <w:widowControl/>
        <w:spacing w:before="100" w:beforeAutospacing="1" w:after="156"/>
        <w:ind w:firstLine="462"/>
        <w:jc w:val="left"/>
        <w:rPr>
          <w:rFonts w:ascii="宋体" w:hAnsi="宋体" w:cs="宋体"/>
          <w:color w:val="000000"/>
          <w:kern w:val="0"/>
          <w:sz w:val="23"/>
          <w:szCs w:val="23"/>
        </w:rPr>
      </w:pPr>
      <w:r>
        <w:rPr>
          <w:rFonts w:hint="eastAsia" w:ascii="宋体" w:hAnsi="宋体" w:cs="宋体"/>
          <w:color w:val="000000"/>
          <w:kern w:val="0"/>
          <w:sz w:val="23"/>
          <w:szCs w:val="23"/>
        </w:rPr>
        <w:t>14.附件</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附件一：《代收货款服务补充协议》</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附件二：《寄递物品安全保障协议书》</w:t>
      </w:r>
    </w:p>
    <w:p>
      <w:pPr>
        <w:widowControl/>
        <w:spacing w:before="100" w:beforeAutospacing="1" w:after="100" w:afterAutospacing="1"/>
        <w:jc w:val="left"/>
        <w:rPr>
          <w:rFonts w:ascii="宋体" w:hAnsi="宋体" w:cs="宋体"/>
          <w:color w:val="000000"/>
          <w:kern w:val="0"/>
          <w:sz w:val="23"/>
          <w:szCs w:val="23"/>
        </w:rPr>
      </w:pPr>
      <w:r>
        <w:rPr>
          <w:rStyle w:val="30"/>
          <w:lang w:val="zh-CN"/>
        </w:rPr>
        <w:commentReference w:id="33"/>
      </w:r>
    </w:p>
    <w:p>
      <w:pPr>
        <w:widowControl/>
        <w:spacing w:before="100" w:beforeAutospacing="1" w:after="100" w:afterAutospacing="1"/>
        <w:jc w:val="left"/>
        <w:rPr>
          <w:rFonts w:ascii="宋体" w:hAnsi="宋体" w:cs="宋体"/>
          <w:color w:val="000000"/>
          <w:kern w:val="0"/>
          <w:sz w:val="23"/>
          <w:szCs w:val="23"/>
        </w:rPr>
      </w:pPr>
      <w:r>
        <w:rPr>
          <w:rStyle w:val="30"/>
          <w:lang w:val="zh-CN"/>
        </w:rPr>
        <w:commentReference w:id="34"/>
      </w:r>
      <w:r>
        <w:rPr>
          <w:rFonts w:hint="eastAsia" w:ascii="宋体" w:hAnsi="宋体" w:cs="宋体"/>
          <w:color w:val="000000"/>
          <w:kern w:val="0"/>
          <w:sz w:val="23"/>
          <w:szCs w:val="23"/>
        </w:rPr>
        <w:t>附件六：《逆向物流解决方案补充协议》</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附件七：《循环保温箱服务补充协议》</w:t>
      </w:r>
    </w:p>
    <w:p>
      <w:pPr>
        <w:widowControl/>
        <w:spacing w:before="100" w:beforeAutospacing="1" w:after="100" w:afterAutospacing="1"/>
        <w:jc w:val="left"/>
        <w:rPr>
          <w:rFonts w:ascii="宋体" w:hAnsi="宋体" w:cs="宋体"/>
          <w:color w:val="000000"/>
          <w:kern w:val="0"/>
          <w:sz w:val="23"/>
          <w:szCs w:val="23"/>
        </w:rPr>
      </w:pPr>
      <w:r>
        <w:rPr>
          <w:rStyle w:val="30"/>
          <w:lang w:val="zh-CN"/>
        </w:rPr>
        <w:commentReference w:id="35"/>
      </w:r>
      <w:r>
        <w:rPr>
          <w:rFonts w:hint="eastAsia" w:ascii="宋体" w:hAnsi="宋体" w:cs="宋体"/>
          <w:color w:val="000000"/>
          <w:kern w:val="0"/>
          <w:sz w:val="23"/>
          <w:szCs w:val="23"/>
        </w:rPr>
        <w:t>附件九：《函速达产品补充协议》</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附件十：《生鲜仓配订单包装耗材收费补充协议》</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附件十一：《商务仓库存管理全托管服务补充协议》</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附件十二：《快运整车直达补充协议》</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附件十三：《医药委托配送质量保证协议》</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附件十四：《快运改址服务补充协议》</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附件十五：《商务仓数字化产品补充协议》</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附件十六：《大件规范及理赔标准补充协议》</w:t>
      </w:r>
    </w:p>
    <w:p>
      <w:pPr>
        <w:widowControl/>
        <w:spacing w:before="100" w:beforeAutospacing="1" w:after="156"/>
        <w:ind w:firstLine="440"/>
        <w:jc w:val="left"/>
        <w:rPr>
          <w:rFonts w:ascii="宋体" w:hAnsi="宋体" w:cs="宋体"/>
          <w:color w:val="000000"/>
          <w:kern w:val="0"/>
          <w:sz w:val="23"/>
          <w:szCs w:val="23"/>
        </w:rPr>
      </w:pPr>
      <w:r>
        <w:rPr>
          <w:rFonts w:hint="eastAsia" w:ascii="宋体" w:hAnsi="宋体" w:cs="宋体"/>
          <w:color w:val="000000"/>
          <w:kern w:val="0"/>
          <w:sz w:val="23"/>
          <w:szCs w:val="23"/>
        </w:rPr>
        <w:t>（以下无正文）</w:t>
      </w:r>
    </w:p>
    <w:tbl>
      <w:tblPr>
        <w:tblStyle w:val="23"/>
        <w:tblW w:w="10485" w:type="dxa"/>
        <w:tblInd w:w="0" w:type="dxa"/>
        <w:tblLayout w:type="autofit"/>
        <w:tblCellMar>
          <w:top w:w="15" w:type="dxa"/>
          <w:left w:w="15" w:type="dxa"/>
          <w:bottom w:w="15" w:type="dxa"/>
          <w:right w:w="15" w:type="dxa"/>
        </w:tblCellMar>
      </w:tblPr>
      <w:tblGrid>
        <w:gridCol w:w="1499"/>
        <w:gridCol w:w="3756"/>
        <w:gridCol w:w="1578"/>
        <w:gridCol w:w="3652"/>
      </w:tblGrid>
      <w:tr>
        <w:tblPrEx>
          <w:tblCellMar>
            <w:top w:w="15" w:type="dxa"/>
            <w:left w:w="15" w:type="dxa"/>
            <w:bottom w:w="15" w:type="dxa"/>
            <w:right w:w="15" w:type="dxa"/>
          </w:tblCellMar>
        </w:tblPrEx>
        <w:trPr>
          <w:trHeight w:val="375" w:hRule="atLeast"/>
        </w:trPr>
        <w:tc>
          <w:tcPr>
            <w:tcW w:w="1376" w:type="dxa"/>
            <w:noWrap/>
            <w:tcMar>
              <w:top w:w="0" w:type="dxa"/>
              <w:left w:w="108" w:type="dxa"/>
              <w:bottom w:w="0" w:type="dxa"/>
              <w:right w:w="108" w:type="dxa"/>
            </w:tcMar>
            <w:vAlign w:val="center"/>
          </w:tcPr>
          <w:p>
            <w:pPr>
              <w:widowControl/>
              <w:spacing w:before="100" w:beforeAutospacing="1" w:after="100" w:afterAutospacing="1"/>
              <w:jc w:val="left"/>
              <w:rPr>
                <w:rFonts w:ascii="宋体" w:hAnsi="宋体" w:cs="宋体"/>
                <w:color w:val="000000"/>
                <w:kern w:val="0"/>
                <w:sz w:val="23"/>
                <w:szCs w:val="23"/>
              </w:rPr>
            </w:pPr>
          </w:p>
          <w:p>
            <w:pPr>
              <w:widowControl/>
              <w:spacing w:before="100" w:beforeAutospacing="1" w:after="100" w:afterAutospacing="1"/>
              <w:jc w:val="left"/>
              <w:rPr>
                <w:rFonts w:ascii="宋体" w:hAnsi="宋体" w:cs="宋体"/>
                <w:color w:val="000000"/>
                <w:kern w:val="0"/>
                <w:sz w:val="23"/>
                <w:szCs w:val="23"/>
              </w:rPr>
            </w:pP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甲方盖章：</w:t>
            </w:r>
          </w:p>
        </w:tc>
        <w:tc>
          <w:tcPr>
            <w:tcW w:w="3447" w:type="dxa"/>
            <w:tcMar>
              <w:top w:w="0" w:type="dxa"/>
              <w:left w:w="108" w:type="dxa"/>
              <w:bottom w:w="0" w:type="dxa"/>
              <w:right w:w="108" w:type="dxa"/>
            </w:tcMar>
            <w:vAlign w:val="center"/>
          </w:tcPr>
          <w:p>
            <w:pPr>
              <w:widowControl/>
              <w:spacing w:before="100" w:beforeAutospacing="1" w:after="100" w:afterAutospacing="1"/>
              <w:jc w:val="left"/>
              <w:rPr>
                <w:rFonts w:ascii="宋体" w:hAnsi="宋体" w:cs="宋体"/>
                <w:color w:val="000000"/>
                <w:kern w:val="0"/>
                <w:sz w:val="23"/>
                <w:szCs w:val="23"/>
              </w:rPr>
            </w:pPr>
          </w:p>
        </w:tc>
        <w:tc>
          <w:tcPr>
            <w:tcW w:w="1448" w:type="dxa"/>
            <w:tcMar>
              <w:top w:w="0" w:type="dxa"/>
              <w:left w:w="108" w:type="dxa"/>
              <w:bottom w:w="0" w:type="dxa"/>
              <w:right w:w="108" w:type="dxa"/>
            </w:tcMar>
            <w:vAlign w:val="center"/>
          </w:tcPr>
          <w:p>
            <w:pPr>
              <w:widowControl/>
              <w:spacing w:before="100" w:beforeAutospacing="1" w:after="100" w:afterAutospacing="1"/>
              <w:jc w:val="left"/>
              <w:rPr>
                <w:rFonts w:ascii="宋体" w:hAnsi="宋体" w:cs="宋体"/>
                <w:color w:val="000000"/>
                <w:kern w:val="0"/>
                <w:sz w:val="23"/>
                <w:szCs w:val="23"/>
              </w:rPr>
            </w:pPr>
          </w:p>
          <w:p>
            <w:pPr>
              <w:widowControl/>
              <w:spacing w:before="100" w:beforeAutospacing="1" w:after="100" w:afterAutospacing="1"/>
              <w:jc w:val="left"/>
              <w:rPr>
                <w:rFonts w:ascii="宋体" w:hAnsi="宋体" w:cs="宋体"/>
                <w:color w:val="000000"/>
                <w:kern w:val="0"/>
                <w:sz w:val="23"/>
                <w:szCs w:val="23"/>
              </w:rPr>
            </w:pPr>
          </w:p>
          <w:p>
            <w:pPr>
              <w:widowControl/>
              <w:spacing w:before="100" w:beforeAutospacing="1" w:after="100" w:afterAutospacing="1"/>
              <w:jc w:val="left"/>
              <w:rPr>
                <w:rFonts w:ascii="宋体" w:hAnsi="宋体" w:cs="宋体"/>
                <w:color w:val="000000"/>
                <w:kern w:val="0"/>
                <w:sz w:val="23"/>
                <w:szCs w:val="23"/>
              </w:rPr>
            </w:pP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乙方盖章：</w:t>
            </w:r>
          </w:p>
          <w:p>
            <w:pPr>
              <w:widowControl/>
              <w:spacing w:before="100" w:beforeAutospacing="1" w:after="100" w:afterAutospacing="1"/>
              <w:jc w:val="left"/>
              <w:rPr>
                <w:rFonts w:ascii="宋体" w:hAnsi="宋体" w:cs="宋体"/>
                <w:color w:val="000000"/>
                <w:kern w:val="0"/>
                <w:sz w:val="23"/>
                <w:szCs w:val="23"/>
              </w:rPr>
            </w:pPr>
          </w:p>
        </w:tc>
        <w:tc>
          <w:tcPr>
            <w:tcW w:w="3351" w:type="dxa"/>
            <w:tcMar>
              <w:top w:w="0" w:type="dxa"/>
              <w:left w:w="108" w:type="dxa"/>
              <w:bottom w:w="0" w:type="dxa"/>
              <w:right w:w="108" w:type="dxa"/>
            </w:tcMar>
            <w:vAlign w:val="center"/>
          </w:tcPr>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 </w:t>
            </w:r>
          </w:p>
          <w:p>
            <w:pPr>
              <w:widowControl/>
              <w:spacing w:before="100" w:beforeAutospacing="1" w:after="100" w:afterAutospacing="1"/>
              <w:jc w:val="left"/>
              <w:rPr>
                <w:rFonts w:ascii="宋体" w:hAnsi="宋体" w:cs="宋体"/>
                <w:color w:val="000000"/>
                <w:kern w:val="0"/>
                <w:sz w:val="23"/>
                <w:szCs w:val="23"/>
              </w:rPr>
            </w:pPr>
          </w:p>
          <w:p>
            <w:pPr>
              <w:widowControl/>
              <w:spacing w:before="100" w:beforeAutospacing="1" w:after="100" w:afterAutospacing="1"/>
              <w:jc w:val="left"/>
              <w:rPr>
                <w:rFonts w:ascii="宋体" w:hAnsi="宋体" w:cs="宋体"/>
                <w:color w:val="000000"/>
                <w:kern w:val="0"/>
                <w:sz w:val="23"/>
                <w:szCs w:val="23"/>
              </w:rPr>
            </w:pPr>
          </w:p>
          <w:p>
            <w:pPr>
              <w:widowControl/>
              <w:spacing w:before="100" w:beforeAutospacing="1" w:after="100" w:afterAutospacing="1"/>
              <w:jc w:val="left"/>
              <w:rPr>
                <w:rFonts w:ascii="宋体" w:hAnsi="宋体" w:cs="宋体"/>
                <w:color w:val="000000"/>
                <w:kern w:val="0"/>
                <w:sz w:val="23"/>
                <w:szCs w:val="23"/>
              </w:rPr>
            </w:pPr>
          </w:p>
        </w:tc>
      </w:tr>
      <w:tr>
        <w:tblPrEx>
          <w:tblCellMar>
            <w:top w:w="15" w:type="dxa"/>
            <w:left w:w="15" w:type="dxa"/>
            <w:bottom w:w="15" w:type="dxa"/>
            <w:right w:w="15" w:type="dxa"/>
          </w:tblCellMar>
        </w:tblPrEx>
        <w:trPr>
          <w:trHeight w:val="375" w:hRule="atLeast"/>
        </w:trPr>
        <w:tc>
          <w:tcPr>
            <w:tcW w:w="1376" w:type="dxa"/>
            <w:noWrap/>
            <w:tcMar>
              <w:top w:w="0" w:type="dxa"/>
              <w:left w:w="108" w:type="dxa"/>
              <w:bottom w:w="0" w:type="dxa"/>
              <w:right w:w="108" w:type="dxa"/>
            </w:tcMar>
            <w:vAlign w:val="center"/>
          </w:tcPr>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授权代表：</w:t>
            </w:r>
          </w:p>
        </w:tc>
        <w:tc>
          <w:tcPr>
            <w:tcW w:w="3447" w:type="dxa"/>
            <w:tcMar>
              <w:top w:w="0" w:type="dxa"/>
              <w:left w:w="108" w:type="dxa"/>
              <w:bottom w:w="0" w:type="dxa"/>
              <w:right w:w="108" w:type="dxa"/>
            </w:tcMar>
            <w:vAlign w:val="center"/>
          </w:tcPr>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 </w:t>
            </w:r>
          </w:p>
        </w:tc>
        <w:tc>
          <w:tcPr>
            <w:tcW w:w="1448" w:type="dxa"/>
            <w:tcMar>
              <w:top w:w="0" w:type="dxa"/>
              <w:left w:w="108" w:type="dxa"/>
              <w:bottom w:w="0" w:type="dxa"/>
              <w:right w:w="108" w:type="dxa"/>
            </w:tcMar>
            <w:vAlign w:val="center"/>
          </w:tcPr>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授权代表：</w:t>
            </w:r>
          </w:p>
        </w:tc>
        <w:tc>
          <w:tcPr>
            <w:tcW w:w="3351" w:type="dxa"/>
            <w:tcMar>
              <w:top w:w="0" w:type="dxa"/>
              <w:left w:w="108" w:type="dxa"/>
              <w:bottom w:w="0" w:type="dxa"/>
              <w:right w:w="108" w:type="dxa"/>
            </w:tcMar>
            <w:vAlign w:val="center"/>
          </w:tcPr>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 </w:t>
            </w:r>
          </w:p>
        </w:tc>
      </w:tr>
      <w:tr>
        <w:tblPrEx>
          <w:tblCellMar>
            <w:top w:w="15" w:type="dxa"/>
            <w:left w:w="15" w:type="dxa"/>
            <w:bottom w:w="15" w:type="dxa"/>
            <w:right w:w="15" w:type="dxa"/>
          </w:tblCellMar>
        </w:tblPrEx>
        <w:trPr>
          <w:trHeight w:val="375" w:hRule="atLeast"/>
        </w:trPr>
        <w:tc>
          <w:tcPr>
            <w:tcW w:w="1376" w:type="dxa"/>
            <w:noWrap/>
            <w:tcMar>
              <w:top w:w="0" w:type="dxa"/>
              <w:left w:w="108" w:type="dxa"/>
              <w:bottom w:w="0" w:type="dxa"/>
              <w:right w:w="108" w:type="dxa"/>
            </w:tcMar>
            <w:vAlign w:val="center"/>
          </w:tcPr>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签订日期：</w:t>
            </w:r>
          </w:p>
        </w:tc>
        <w:tc>
          <w:tcPr>
            <w:tcW w:w="3447" w:type="dxa"/>
            <w:tcMar>
              <w:top w:w="0" w:type="dxa"/>
              <w:left w:w="108" w:type="dxa"/>
              <w:bottom w:w="0" w:type="dxa"/>
              <w:right w:w="108" w:type="dxa"/>
            </w:tcMar>
            <w:vAlign w:val="center"/>
          </w:tcPr>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 </w:t>
            </w:r>
          </w:p>
        </w:tc>
        <w:tc>
          <w:tcPr>
            <w:tcW w:w="1448" w:type="dxa"/>
            <w:tcMar>
              <w:top w:w="0" w:type="dxa"/>
              <w:left w:w="108" w:type="dxa"/>
              <w:bottom w:w="0" w:type="dxa"/>
              <w:right w:w="108" w:type="dxa"/>
            </w:tcMar>
            <w:vAlign w:val="center"/>
          </w:tcPr>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签订日期：</w:t>
            </w:r>
          </w:p>
        </w:tc>
        <w:tc>
          <w:tcPr>
            <w:tcW w:w="3351" w:type="dxa"/>
            <w:tcMar>
              <w:top w:w="0" w:type="dxa"/>
              <w:left w:w="108" w:type="dxa"/>
              <w:bottom w:w="0" w:type="dxa"/>
              <w:right w:w="108" w:type="dxa"/>
            </w:tcMar>
            <w:vAlign w:val="center"/>
          </w:tcPr>
          <w:p>
            <w:pPr>
              <w:widowControl/>
              <w:spacing w:before="100" w:beforeAutospacing="1" w:after="100" w:afterAutospacing="1"/>
              <w:jc w:val="left"/>
              <w:rPr>
                <w:rFonts w:ascii="宋体" w:hAnsi="宋体" w:cs="宋体"/>
                <w:color w:val="000000"/>
                <w:kern w:val="0"/>
                <w:sz w:val="23"/>
                <w:szCs w:val="23"/>
              </w:rPr>
            </w:pPr>
          </w:p>
        </w:tc>
      </w:tr>
    </w:tbl>
    <w:p>
      <w:pPr>
        <w:rPr>
          <w:rFonts w:ascii="宋体" w:hAnsi="宋体"/>
          <w:sz w:val="23"/>
          <w:szCs w:val="23"/>
        </w:rPr>
      </w:pPr>
    </w:p>
    <w:p>
      <w:pPr>
        <w:rPr>
          <w:rFonts w:ascii="宋体" w:hAnsi="宋体"/>
          <w:sz w:val="23"/>
          <w:szCs w:val="23"/>
        </w:rPr>
      </w:pPr>
    </w:p>
    <w:p>
      <w:pPr>
        <w:rPr>
          <w:rFonts w:ascii="宋体" w:hAnsi="宋体"/>
          <w:sz w:val="23"/>
          <w:szCs w:val="23"/>
        </w:rPr>
      </w:pPr>
    </w:p>
    <w:p>
      <w:pPr>
        <w:rPr>
          <w:rFonts w:ascii="宋体" w:hAnsi="宋体"/>
          <w:sz w:val="23"/>
          <w:szCs w:val="23"/>
        </w:rPr>
      </w:pPr>
    </w:p>
    <w:p>
      <w:pPr>
        <w:rPr>
          <w:rFonts w:ascii="宋体" w:hAnsi="宋体"/>
          <w:sz w:val="23"/>
          <w:szCs w:val="23"/>
        </w:rPr>
      </w:pPr>
    </w:p>
    <w:p>
      <w:pPr>
        <w:rPr>
          <w:rFonts w:ascii="宋体" w:hAnsi="宋体"/>
          <w:sz w:val="23"/>
          <w:szCs w:val="23"/>
        </w:rPr>
      </w:pPr>
    </w:p>
    <w:p>
      <w:pPr>
        <w:rPr>
          <w:rFonts w:ascii="宋体" w:hAnsi="宋体"/>
          <w:sz w:val="23"/>
          <w:szCs w:val="23"/>
        </w:rPr>
      </w:pPr>
    </w:p>
    <w:p>
      <w:pPr>
        <w:rPr>
          <w:rFonts w:ascii="宋体" w:hAnsi="宋体"/>
          <w:sz w:val="23"/>
          <w:szCs w:val="23"/>
        </w:rPr>
      </w:pP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b/>
          <w:bCs/>
          <w:color w:val="000000"/>
          <w:kern w:val="0"/>
          <w:sz w:val="23"/>
          <w:szCs w:val="23"/>
        </w:rPr>
        <w:t>附件一：代收货款服务补充协议</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1.服务内容</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代收货款服务是指乙方按照甲方与收件人之间达成的交易协议，向甲方提供快递服务并代甲方向收件人收取货款，并按照双方约定时间将货款返至甲方指定账户的服务。</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2.双方的权利与义务</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2.1甲方委托乙方代收货款的托寄物须符合国家法律规定、合法销售、承担质量保证及售后服务承诺义务。甲方因托寄物与收件人或第三方之间发生的交易纠纷由发生争议的双方自行解决。甲方未妥善解决纠纷，导致收件人或第三方对托寄物采取保全措施（如扣留托寄物）而造成的损失由甲方承担，如给乙方造成损失的，甲方应负责赔偿。</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2.2甲方委托乙方代为收取货款的，须在面单上清晰、准确的填写收款信息且确保其与实际需代收货款金额一致。甲方委托乙方提供所代收货款服务的快件每份面单对应的代收货款金额不超过人民币30万元。因第三方原因导致乙方未完成代收款工作的，乙方应及时向甲方反馈情况并积极协助甲方向付款义务人追讨。</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2.3收件人在付款前有权拆开包装对货物外观及数量检验，如收件人在验货后决定拒绝接受托寄物或者拒绝付款的，甲方不得以收件人曾拆开包装为由拒绝收回货物，亦不得以此为由追究乙方的任何责任，同时，乙方按甲方要求逆向退回的，由甲方承担退回的运费。</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2.4甲方与收件人或第三方存在买卖等商业交易关系的，收件人或第三方对于托寄物提出物品品质、售后等相关问题，或基于有关法律法规或其与寄件人的约定要求退换托寄物的及/或提出退款的，甲方应积极与收件人或第三方协商处理并达成一致。如无法联系到甲方或甲方未及时处理，导致收件人或第三方投诉至乙方或监管部门，乙方有权暂停返还代收货款，且自乙方通知甲方后5日内仍未妥善处理的，或收件人或第三方投诉对乙方名誉或品牌造成损害的，乙方有权代甲方退款。针对甲方利用乙方快递服务进行盲销的（即甲方与收件人不存在事先的买卖等商业交易关系的，未经收件人同意向收件人寄递物品并委托乙方代收货款，且收件人事后也不予认可物品交易和/或进行投诉举报的），若收件人向乙方要求退款的，乙方有权代甲方退款。</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2.5甲方应指定人员负责与乙方进行对接，负责处理与乙方日常事务对接、及时处理投诉至乙方的甲方与收件人或第三方的售后服务等交易纠纷。</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2.6乙方已安排两次配送，但由于非乙方原因（包括但不限于收件人拒收、联系不上收件人、收件人信息有误等）造成仍未成功妥投的托寄物的，甲方如需乙方提供再次投递服务的，满足条件后可选择乙方协商再投收费增值服务。</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2.7甲方已知悉并确认，使用快递面单上寄件人联系方式、双方协议或甲方书面授权的联系方式、甲方在乙方系统登记的联系方式向乙方提出取消或更改托寄物代收货款金额的需求，视为甲方授权行为，因此产生的电话录音、电子邮件、系统操作等均视为甲方取消或更改金额的依据。</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2.8合同有效期内，甲方月平均妥投率未达到50%的，乙方有权选择调整服务收费标准或终止代收货款服务甚至终止提供物流服务。</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2.9如甲方通过乙方快递服务进行盲销，给乙方造成品牌、声誉上的影响（包括但不限于产生315、邮政投诉举报）的，甲方应按不低于10倍运费/单的标准支付违约金，不足以弥补乙方损失的，应另行赔偿。</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3.服务价格与结算</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3.1除双方另有约定，甲方同意按照京东物流官方网站上公布的费用标准向乙方支付相应的服务费用。甲方同意乙方有权根据经营需要对官网价格进行调整，并按照最新价格进行结算，甲方如有异议，需在下单前及时提出。</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3.2代收货款的结算：</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分为POP客户与非POP客户，POP客户是指甲方与京东平台签署《京东“JD.COM”开放平台店铺服务协议》并在京东商城平台开设店铺的商家。</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 3.2.1非POP客户</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（1）乙方根据结算周期将代收货款的账务明细发给甲方核对，相关数据以乙方系统记载为准。甲方如对该账单持有异议，应自送达账单之日起48小时内书面通知乙方，如逾期不提出书面异议，则视为无异议。</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（2）返款周期：支持“T+ 0/1/2/3”多种返款方式，双方对账完成后进行返款，如遇节假日返款时间顺延。</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（3）代收货款的返款金额为乙方实际收回的货款。</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（4）除双方另有约定外，甲方的代收货款收款账户信息以甲方提交并在乙方系统中审核的信息为准。甲方如需变更，需提前15日以书面形式通知乙方或在乙方系统中确认变更。</w:t>
      </w:r>
    </w:p>
    <w:p>
      <w:pPr>
        <w:widowControl/>
        <w:spacing w:before="100" w:beforeAutospacing="1" w:after="156"/>
        <w:ind w:firstLine="460"/>
        <w:jc w:val="left"/>
        <w:rPr>
          <w:rFonts w:ascii="宋体" w:hAnsi="宋体" w:cs="宋体"/>
          <w:color w:val="000000"/>
          <w:kern w:val="0"/>
          <w:sz w:val="23"/>
          <w:szCs w:val="23"/>
        </w:rPr>
      </w:pPr>
      <w:r>
        <w:rPr>
          <w:rStyle w:val="30"/>
          <w:lang w:val="zh-CN"/>
        </w:rPr>
        <w:commentReference w:id="36"/>
      </w:r>
      <w:r>
        <w:rPr>
          <w:rFonts w:hint="eastAsia" w:ascii="宋体" w:hAnsi="宋体" w:cs="宋体"/>
          <w:color w:val="000000"/>
          <w:kern w:val="0"/>
          <w:sz w:val="23"/>
          <w:szCs w:val="23"/>
        </w:rPr>
        <w:t>▲甲方应保证其提供的户名、开户银行、账号等信息真实准确，如甲方账号变更或发生不可用等情况出现时，甲方应及时书面通知乙方并确认乙方获悉，否则因此引起的延期付款、转账错误或无法转账，乙方不承担任何责任，若因此造成乙方损失的，甲方应当赔偿乙方损失。</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▲甲方代收货款返款接收账户应为甲方的对公账户，不允许指定非甲方的对公账户进行收款；如甲方指定代收货款返款账户为个人账户，需出具授权书说明收款账户与甲方的关系。</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5）乙方除有权自应付甲方其他款项中扣除甲方或其指定的收货人未付清服务费、乙方代甲方退款费用、违约金及其他费用外，甲方授权乙方从应当支付给甲方的代收货款中抵扣甲方根据主合同约定已对账完毕（含系统默认）尚未到主合同约定付款时间的甲方应付物流费用，抵扣后货款仍有余额的，乙方抵扣完毕后将剩余货款返还给甲方。如甲方当期的代收货款不足以抵扣应支付的服务费用时，乙方将自下一期的代收货款中进行抵扣，以此类推，至抵扣完毕为止。如代收货款无法满足抵扣要求，仍需要甲方按照主合同约定或其他乙方指定付款方式向乙方支付费用。</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3.2.2 POP客户</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甲方同意代收货款最终由甲方与京东平台依据《京东“JD.COM”开放平台店铺服务协议》或相关协议（以甲方与京东平台签署的实际协议为准）约定结算，乙方代甲方收取的货款先行定期向京东平台指定的第三方支付平台网银在线进行结算。</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（2）乙方有权自应付甲方代收货款中扣除甲方未支付物流服务费、乙方代甲方退款费用、违约金等费用后，将剩余款项支付甲方。如甲方代收返还货款不足以抵扣上述费用时，乙方有权向甲方继续追偿。</w:t>
      </w:r>
    </w:p>
    <w:p>
      <w:pPr>
        <w:rPr>
          <w:rFonts w:ascii="宋体" w:hAnsi="宋体"/>
          <w:sz w:val="23"/>
          <w:szCs w:val="23"/>
        </w:rPr>
      </w:pPr>
      <w:r>
        <w:rPr>
          <w:rStyle w:val="30"/>
          <w:lang w:val="zh-CN"/>
        </w:rPr>
        <w:commentReference w:id="37"/>
      </w:r>
    </w:p>
    <w:p>
      <w:pPr>
        <w:rPr>
          <w:rFonts w:ascii="宋体" w:hAnsi="宋体"/>
          <w:sz w:val="23"/>
          <w:szCs w:val="23"/>
        </w:rPr>
      </w:pPr>
    </w:p>
    <w:p>
      <w:pPr>
        <w:rPr>
          <w:rFonts w:ascii="宋体" w:hAnsi="宋体"/>
          <w:sz w:val="23"/>
          <w:szCs w:val="23"/>
        </w:rPr>
      </w:pPr>
    </w:p>
    <w:p>
      <w:pPr>
        <w:rPr>
          <w:rFonts w:ascii="宋体" w:hAnsi="宋体"/>
          <w:sz w:val="23"/>
          <w:szCs w:val="23"/>
        </w:rPr>
      </w:pPr>
    </w:p>
    <w:p>
      <w:pPr>
        <w:rPr>
          <w:rFonts w:ascii="宋体" w:hAnsi="宋体"/>
          <w:sz w:val="23"/>
          <w:szCs w:val="23"/>
        </w:rPr>
      </w:pPr>
    </w:p>
    <w:p>
      <w:pPr>
        <w:rPr>
          <w:rFonts w:ascii="宋体" w:hAnsi="宋体"/>
          <w:sz w:val="23"/>
          <w:szCs w:val="23"/>
        </w:rPr>
      </w:pPr>
    </w:p>
    <w:p>
      <w:pPr>
        <w:rPr>
          <w:rFonts w:ascii="宋体" w:hAnsi="宋体"/>
          <w:sz w:val="23"/>
          <w:szCs w:val="23"/>
        </w:rPr>
      </w:pPr>
    </w:p>
    <w:p>
      <w:pPr>
        <w:rPr>
          <w:rFonts w:ascii="宋体" w:hAnsi="宋体"/>
          <w:sz w:val="23"/>
          <w:szCs w:val="23"/>
        </w:rPr>
      </w:pPr>
    </w:p>
    <w:p>
      <w:pPr>
        <w:rPr>
          <w:rFonts w:ascii="宋体" w:hAnsi="宋体"/>
          <w:sz w:val="23"/>
          <w:szCs w:val="23"/>
        </w:rPr>
      </w:pP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b/>
          <w:bCs/>
          <w:color w:val="000000"/>
          <w:kern w:val="0"/>
          <w:sz w:val="23"/>
          <w:szCs w:val="23"/>
        </w:rPr>
        <w:t>附件二：寄递物品安全保障协议书</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为了确保寄递渠道的安全，营造安全和谐的社会环境，根据国家邮政局制定的《寄递服务企业收寄物品安全管理规定（试行）》和国家安全部门的有关要求，经双方协商，订立如下协议。</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1、甲乙双方共同遵守《中华人民共和国反恐怖法》、《中华人民共和国邮政法》及《邮政行业安全监督管理办法》、《寄递服务企业收寄物品安全管理规定》、《禁寄物品指导目录及处理办法》中的寄递规定。</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2、甲方交寄邮件（快件）应当遵守国家关于禁止寄递或者限制寄递物品的规定，不得通过寄递渠道危害国家安全、</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公共安全和公民、法人、其他组织的合法权益。</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3、甲方承诺寄递的物品中不含以下物品：</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3.1各类武器、弹药，如枪支、子弹、炮弹、手榴弹、地雷、炸弹等。</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3.2各类易爆炸性物品，如雷管、炸药、火药、鞭炮等。</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3.3各类易燃烧性物品，包括液体、气体和固体，如汽油、煤油、桐油、酒精、生漆、柴油、气雾剂、气体打火机、瓦斯气瓶、磷、硫磺、火柴等。</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3.4各类易腐蚀性物品，如火硫酸、盐酸、硝酸、有机溶剂、农药、双氧水、危险化学品等。</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3.5各类放射性元素及容器，如铀、钴、镭、钚等。</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3.6各类烈性毒药，如铊、氰化物、砒霜等。</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3.7各类麻醉药物，如鸦片（包括婴粟壳、花、苞、叶）、吗啡、可卡因、海洛因、大麻、冰毒、麻黄素及其它制品等。</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3.8各类一类精神药品，如盐酸氯胺酮、羟丁酸钠注射液、马吲哚、盐酸丁丙诺啡注射液、司可巴比妥钠、三唑仑等。</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3.9各类生化制品和传染性物品，如炭症、危险性病菌、医药用废弃物等。</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3.10各种危害国家安全和社会政治稳定以及淫秽的出版物、宣传品、印刷品等，如各种煽动民族仇恨、歧视，破坏民族团结，宣扬邪教或者迷信，散布谣言扰乱社会秩序等。</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3.11各种妨害公共卫生的物品，如尸骨、动物器官、肢体、未经硝制的兽皮、未经药制的兽骨、活动物等。</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3.12国家法律、法规、行政规章明令禁止流通、寄递或进出境的物品，如国家秘密文件和资料、国家货币及伪造的货币和有价证券、仿真武器、管制刀、具、珍贵文物、濒危野生动物及其制品等。</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3.13包装不妥，可能危害人身安全、污染或者损毁其他寄递件、设备的物品等。</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3.14各寄达国（地区）禁止寄递进口的物品等。</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3.15其他禁止寄递的物品。</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4、甲方如实填写寄递详情单，包括寄件人、收件人名址和寄递物品的名称、类别、数量等，乙方应该核对寄件人和收件人信息，准确注明邮（快）件的重量、资费。</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5、乙方有权要求甲方当面验视交寄物品，检查是否属于国家禁止或限制寄递的物品，以及物品的名称、类别、数量等是否与寄递详情单所填写的内容一致。乙方可以依据法律法规或监管部门的要求对甲方交寄的物品按比例予以开箱验视。依照国家规定需要甲方提供有关书面凭证的，甲方有义务提供凭证原件，乙方核对无误后，予以收寄。甲方拒绝验视、拒不如实填写寄递详情单、拒不提供相应书面凭证的，乙方可以拒绝收寄。</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6、乙方在已经收寄的邮件（快件）中发现有上述物品的，依据《禁寄物品指导目录及处理方法》处理，可以停止转发和投递。对其中依法需要没收或者销毁的物品，有权立即向有关部门报告，并配合有关部门进行处理。对已经收寄的不需要没收、销毁的禁寄物品以及一同查处的禁寄物品之外的物品，乙方联系甲方妥善处理。</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7、甲方违反规定寄递国家规定的禁寄物品，违法寄递国家禁止出境或者限制出境的物品，被国家有关部门查处的，由甲方承担相应的法律责任。由此给乙方或者公民、法人及其他组织造成损害的，由甲方依法承担赔偿责任。</w:t>
      </w:r>
    </w:p>
    <w:p>
      <w:pPr>
        <w:widowControl/>
        <w:spacing w:before="100" w:beforeAutospacing="1" w:after="156"/>
        <w:ind w:firstLine="460"/>
        <w:jc w:val="left"/>
        <w:rPr>
          <w:rFonts w:ascii="宋体" w:hAnsi="宋体" w:cs="宋体"/>
          <w:color w:val="000000"/>
          <w:kern w:val="0"/>
          <w:sz w:val="23"/>
          <w:szCs w:val="23"/>
        </w:rPr>
      </w:pPr>
      <w:r>
        <w:rPr>
          <w:rFonts w:hint="eastAsia" w:ascii="宋体" w:hAnsi="宋体" w:cs="宋体"/>
          <w:color w:val="000000"/>
          <w:kern w:val="0"/>
          <w:sz w:val="23"/>
          <w:szCs w:val="23"/>
        </w:rPr>
        <w:t>8、本协议经双方签字之日起生效，同时甲方需要提供营业执照副本复印件或主要负责人居民身份证复印件；若甲方未在签订本协议书之日起七日内提供的，本协议书自动作废，以后甲方交寄的所有物品必须按照实名寄递的要求出具相关身份证件、逐一开箱验视后方可寄递。</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   9、合同有效期内，甲方寄递物品及寄件人姓名规范填写主合同中的“客户信息表”中“托寄物”和“主要寄件人”的信息为准。甲方寄递非事先声明的物品或未按上述填写规范名称的，在收寄、转运过程中被相关部门扣押，导致寄递延误的，由甲方负责，同时乙方查实也可以不予收寄。</w:t>
      </w:r>
    </w:p>
    <w:p>
      <w:pPr>
        <w:rPr>
          <w:rFonts w:ascii="宋体" w:hAnsi="宋体"/>
          <w:sz w:val="23"/>
          <w:szCs w:val="23"/>
        </w:rPr>
      </w:pPr>
    </w:p>
    <w:p>
      <w:pPr>
        <w:rPr>
          <w:rFonts w:ascii="宋体" w:hAnsi="宋体"/>
          <w:sz w:val="23"/>
          <w:szCs w:val="23"/>
        </w:rPr>
      </w:pPr>
    </w:p>
    <w:p>
      <w:pPr>
        <w:rPr>
          <w:rFonts w:ascii="宋体" w:hAnsi="宋体"/>
          <w:sz w:val="23"/>
          <w:szCs w:val="23"/>
        </w:rPr>
      </w:pPr>
    </w:p>
    <w:p>
      <w:pPr>
        <w:widowControl/>
        <w:spacing w:before="100" w:beforeAutospacing="1" w:after="120"/>
        <w:ind w:firstLine="460"/>
        <w:jc w:val="left"/>
        <w:rPr>
          <w:rFonts w:ascii="宋体" w:hAnsi="宋体" w:cs="宋体"/>
          <w:color w:val="000000"/>
          <w:kern w:val="0"/>
          <w:sz w:val="23"/>
          <w:szCs w:val="23"/>
        </w:rPr>
      </w:pPr>
      <w:r>
        <w:rPr>
          <w:rStyle w:val="30"/>
          <w:lang w:val="zh-CN"/>
        </w:rPr>
        <w:commentReference w:id="38"/>
      </w:r>
      <w:r>
        <w:rPr>
          <w:rStyle w:val="30"/>
          <w:lang w:val="zh-CN"/>
        </w:rPr>
        <w:commentReference w:id="39"/>
      </w:r>
    </w:p>
    <w:p>
      <w:pPr>
        <w:rPr>
          <w:rFonts w:ascii="宋体" w:hAnsi="宋体"/>
          <w:sz w:val="23"/>
          <w:szCs w:val="23"/>
        </w:rPr>
      </w:pPr>
    </w:p>
    <w:p>
      <w:pPr>
        <w:rPr>
          <w:rFonts w:ascii="宋体" w:hAnsi="宋体"/>
          <w:sz w:val="23"/>
          <w:szCs w:val="23"/>
        </w:rPr>
      </w:pPr>
      <w:r>
        <w:rPr>
          <w:rStyle w:val="30"/>
          <w:lang w:val="zh-CN"/>
        </w:rPr>
        <w:commentReference w:id="40"/>
      </w:r>
    </w:p>
    <w:p>
      <w:pPr>
        <w:rPr>
          <w:rFonts w:ascii="宋体" w:hAnsi="宋体"/>
          <w:sz w:val="23"/>
          <w:szCs w:val="23"/>
        </w:rPr>
      </w:pPr>
    </w:p>
    <w:p>
      <w:pPr>
        <w:rPr>
          <w:rFonts w:ascii="宋体" w:hAnsi="宋体"/>
          <w:sz w:val="23"/>
          <w:szCs w:val="23"/>
        </w:rPr>
      </w:pPr>
    </w:p>
    <w:p>
      <w:pPr>
        <w:rPr>
          <w:rFonts w:ascii="宋体" w:hAnsi="宋体"/>
          <w:sz w:val="23"/>
          <w:szCs w:val="23"/>
        </w:rPr>
      </w:pPr>
    </w:p>
    <w:p>
      <w:pPr>
        <w:rPr>
          <w:rFonts w:ascii="宋体" w:hAnsi="宋体"/>
          <w:sz w:val="23"/>
          <w:szCs w:val="23"/>
        </w:rPr>
      </w:pPr>
      <w:r>
        <w:rPr>
          <w:rStyle w:val="30"/>
          <w:lang w:val="zh-CN"/>
        </w:rPr>
        <w:commentReference w:id="41"/>
      </w:r>
    </w:p>
    <w:p>
      <w:pPr>
        <w:rPr>
          <w:rFonts w:ascii="宋体" w:hAnsi="宋体"/>
          <w:sz w:val="23"/>
          <w:szCs w:val="23"/>
        </w:rPr>
      </w:pPr>
    </w:p>
    <w:p>
      <w:pPr>
        <w:widowControl/>
        <w:spacing w:before="100" w:beforeAutospacing="1" w:after="120"/>
        <w:jc w:val="left"/>
        <w:rPr>
          <w:rFonts w:ascii="宋体" w:hAnsi="宋体" w:cs="宋体"/>
          <w:color w:val="000000"/>
          <w:kern w:val="0"/>
          <w:sz w:val="23"/>
          <w:szCs w:val="23"/>
        </w:rPr>
      </w:pPr>
      <w:r>
        <w:rPr>
          <w:rFonts w:hint="eastAsia" w:ascii="宋体" w:hAnsi="宋体" w:cs="宋体"/>
          <w:b/>
          <w:bCs/>
          <w:color w:val="000000"/>
          <w:kern w:val="0"/>
          <w:sz w:val="23"/>
          <w:szCs w:val="23"/>
          <w:shd w:val="clear" w:color="auto" w:fill="FFFFFF"/>
        </w:rPr>
        <w:t>附件六：逆向物流解决方案补充协议</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逆向物流解决方案补充协议仅针对检查原包装(破损)服务、检查附件服务、检查商品外观服务、检查使用情况服务、检查商品条码服务、商品拍照服务、防撕码采集服务、检查塑封包装服务、检查原包装（丢失）服务做出补充说明。</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1、逆向物流解决方案</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1.1、逆向物流解决方案：甲方委托乙方，从指定地点收取物品送达至甲方指定的地点的逆向物流服务。甲方并可在逆向服务时选用验货服务的快递产品的逆向物流解决方案。</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1.2、验货服务：指乙方为甲方检验需要逆向取回的物品是否与检验项目及检验标准一致，一致时正常揽收并以检验项目及检验标准将商品交付甲方。不一致时向甲方回传验货失败信息。为快递产品增值服务之一。</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2、计费规则</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2.1、逆向快递服务费用标准与京东物流官网服务细则保持一致。</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2.2、验货服务收费标准如下：</w:t>
      </w:r>
    </w:p>
    <w:tbl>
      <w:tblPr>
        <w:tblStyle w:val="23"/>
        <w:tblW w:w="8080" w:type="dxa"/>
        <w:tblInd w:w="132" w:type="dxa"/>
        <w:tblLayout w:type="autofit"/>
        <w:tblCellMar>
          <w:top w:w="15" w:type="dxa"/>
          <w:left w:w="15" w:type="dxa"/>
          <w:bottom w:w="15" w:type="dxa"/>
          <w:right w:w="15" w:type="dxa"/>
        </w:tblCellMar>
      </w:tblPr>
      <w:tblGrid>
        <w:gridCol w:w="709"/>
        <w:gridCol w:w="1701"/>
        <w:gridCol w:w="4252"/>
        <w:gridCol w:w="1418"/>
      </w:tblGrid>
      <w:tr>
        <w:tblPrEx>
          <w:tblCellMar>
            <w:top w:w="15" w:type="dxa"/>
            <w:left w:w="15" w:type="dxa"/>
            <w:bottom w:w="15" w:type="dxa"/>
            <w:right w:w="15" w:type="dxa"/>
          </w:tblCellMar>
        </w:tblPrEx>
        <w:trPr>
          <w:trHeight w:val="523" w:hRule="atLeast"/>
        </w:trPr>
        <w:tc>
          <w:tcPr>
            <w:tcW w:w="709" w:type="dxa"/>
            <w:tcBorders>
              <w:top w:val="single" w:color="auto" w:sz="8" w:space="0"/>
              <w:left w:val="single" w:color="auto" w:sz="8" w:space="0"/>
              <w:bottom w:val="single" w:color="auto" w:sz="8" w:space="0"/>
              <w:right w:val="single" w:color="auto" w:sz="8" w:space="0"/>
            </w:tcBorders>
            <w:shd w:val="clear" w:color="auto" w:fill="C00000"/>
            <w:noWrap/>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b/>
                <w:bCs/>
                <w:color w:val="FFFFFF"/>
                <w:kern w:val="0"/>
                <w:sz w:val="18"/>
                <w:szCs w:val="18"/>
              </w:rPr>
              <w:t>序号</w:t>
            </w:r>
          </w:p>
        </w:tc>
        <w:tc>
          <w:tcPr>
            <w:tcW w:w="1701" w:type="dxa"/>
            <w:tcBorders>
              <w:top w:val="single" w:color="auto" w:sz="8" w:space="0"/>
              <w:left w:val="nil"/>
              <w:bottom w:val="single" w:color="auto" w:sz="8" w:space="0"/>
              <w:right w:val="single" w:color="auto" w:sz="8" w:space="0"/>
            </w:tcBorders>
            <w:shd w:val="clear" w:color="auto" w:fill="C00000"/>
            <w:noWrap/>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b/>
                <w:bCs/>
                <w:color w:val="FFFFFF"/>
                <w:kern w:val="0"/>
                <w:sz w:val="18"/>
                <w:szCs w:val="18"/>
              </w:rPr>
              <w:t>逆向取件服务项目（检验标准）</w:t>
            </w:r>
          </w:p>
        </w:tc>
        <w:tc>
          <w:tcPr>
            <w:tcW w:w="4252" w:type="dxa"/>
            <w:tcBorders>
              <w:top w:val="single" w:color="auto" w:sz="8" w:space="0"/>
              <w:left w:val="nil"/>
              <w:bottom w:val="single" w:color="auto" w:sz="8" w:space="0"/>
              <w:right w:val="single" w:color="auto" w:sz="8" w:space="0"/>
            </w:tcBorders>
            <w:shd w:val="clear" w:color="auto" w:fill="C00000"/>
            <w:noWrap/>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b/>
                <w:bCs/>
                <w:color w:val="FFFFFF"/>
                <w:kern w:val="0"/>
                <w:sz w:val="18"/>
                <w:szCs w:val="18"/>
              </w:rPr>
              <w:t>服务标准（检验标准）</w:t>
            </w:r>
          </w:p>
        </w:tc>
        <w:tc>
          <w:tcPr>
            <w:tcW w:w="1418" w:type="dxa"/>
            <w:tcBorders>
              <w:top w:val="single" w:color="auto" w:sz="8" w:space="0"/>
              <w:left w:val="nil"/>
              <w:bottom w:val="single" w:color="auto" w:sz="8" w:space="0"/>
              <w:right w:val="single" w:color="auto" w:sz="8" w:space="0"/>
            </w:tcBorders>
            <w:shd w:val="clear" w:color="auto" w:fill="C00000"/>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b/>
                <w:bCs/>
                <w:color w:val="FFFFFF"/>
                <w:kern w:val="0"/>
                <w:sz w:val="18"/>
                <w:szCs w:val="18"/>
              </w:rPr>
              <w:t>收费标准</w:t>
            </w:r>
          </w:p>
        </w:tc>
      </w:tr>
      <w:tr>
        <w:tblPrEx>
          <w:tblCellMar>
            <w:top w:w="15" w:type="dxa"/>
            <w:left w:w="15" w:type="dxa"/>
            <w:bottom w:w="15" w:type="dxa"/>
            <w:right w:w="15" w:type="dxa"/>
          </w:tblCellMar>
        </w:tblPrEx>
        <w:trPr>
          <w:trHeight w:val="523" w:hRule="atLeast"/>
        </w:trPr>
        <w:tc>
          <w:tcPr>
            <w:tcW w:w="709"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1</w:t>
            </w:r>
          </w:p>
        </w:tc>
        <w:tc>
          <w:tcPr>
            <w:tcW w:w="1701" w:type="dxa"/>
            <w:tcBorders>
              <w:top w:val="nil"/>
              <w:left w:val="nil"/>
              <w:bottom w:val="single" w:color="auto" w:sz="8" w:space="0"/>
              <w:right w:val="single" w:color="auto" w:sz="8" w:space="0"/>
            </w:tcBorders>
            <w:noWrap/>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检查外包装</w:t>
            </w:r>
          </w:p>
        </w:tc>
        <w:tc>
          <w:tcPr>
            <w:tcW w:w="4252" w:type="dxa"/>
            <w:tcBorders>
              <w:top w:val="nil"/>
              <w:left w:val="nil"/>
              <w:bottom w:val="single" w:color="auto" w:sz="8" w:space="0"/>
              <w:right w:val="single" w:color="auto" w:sz="8" w:space="0"/>
            </w:tcBorders>
            <w:noWrap/>
            <w:tcMar>
              <w:top w:w="0" w:type="dxa"/>
              <w:left w:w="108" w:type="dxa"/>
              <w:bottom w:w="0" w:type="dxa"/>
              <w:right w:w="108" w:type="dxa"/>
            </w:tcMar>
            <w:vAlign w:val="center"/>
          </w:tcPr>
          <w:p>
            <w:pPr>
              <w:widowControl/>
              <w:spacing w:before="100" w:beforeAutospacing="1" w:after="100" w:afterAutospacing="1"/>
              <w:jc w:val="left"/>
              <w:rPr>
                <w:rFonts w:ascii="宋体" w:hAnsi="宋体" w:cs="宋体"/>
                <w:color w:val="000000"/>
                <w:kern w:val="0"/>
                <w:sz w:val="18"/>
                <w:szCs w:val="18"/>
              </w:rPr>
            </w:pPr>
            <w:r>
              <w:rPr>
                <w:rFonts w:hint="eastAsia" w:ascii="宋体" w:hAnsi="宋体" w:cs="宋体"/>
                <w:color w:val="000000"/>
                <w:kern w:val="0"/>
                <w:sz w:val="18"/>
                <w:szCs w:val="18"/>
              </w:rPr>
              <w:t>检查外包装，不符合标准不进行取件</w:t>
            </w:r>
          </w:p>
        </w:tc>
        <w:tc>
          <w:tcPr>
            <w:tcW w:w="14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不收费</w:t>
            </w:r>
          </w:p>
        </w:tc>
      </w:tr>
      <w:tr>
        <w:tblPrEx>
          <w:tblCellMar>
            <w:top w:w="15" w:type="dxa"/>
            <w:left w:w="15" w:type="dxa"/>
            <w:bottom w:w="15" w:type="dxa"/>
            <w:right w:w="15" w:type="dxa"/>
          </w:tblCellMar>
        </w:tblPrEx>
        <w:trPr>
          <w:trHeight w:val="523" w:hRule="atLeast"/>
        </w:trPr>
        <w:tc>
          <w:tcPr>
            <w:tcW w:w="709"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2</w:t>
            </w:r>
          </w:p>
        </w:tc>
        <w:tc>
          <w:tcPr>
            <w:tcW w:w="1701"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检查塑封包装</w:t>
            </w:r>
          </w:p>
        </w:tc>
        <w:tc>
          <w:tcPr>
            <w:tcW w:w="4252" w:type="dxa"/>
            <w:tcBorders>
              <w:top w:val="nil"/>
              <w:left w:val="nil"/>
              <w:bottom w:val="single" w:color="auto" w:sz="8" w:space="0"/>
              <w:right w:val="single" w:color="auto" w:sz="8" w:space="0"/>
            </w:tcBorders>
            <w:noWrap/>
            <w:tcMar>
              <w:top w:w="0" w:type="dxa"/>
              <w:left w:w="108" w:type="dxa"/>
              <w:bottom w:w="0" w:type="dxa"/>
              <w:right w:w="108" w:type="dxa"/>
            </w:tcMar>
            <w:vAlign w:val="center"/>
          </w:tcPr>
          <w:p>
            <w:pPr>
              <w:widowControl/>
              <w:spacing w:before="100" w:beforeAutospacing="1" w:after="100" w:afterAutospacing="1"/>
              <w:jc w:val="left"/>
              <w:rPr>
                <w:rFonts w:ascii="宋体" w:hAnsi="宋体" w:cs="宋体"/>
                <w:color w:val="000000"/>
                <w:kern w:val="0"/>
                <w:sz w:val="18"/>
                <w:szCs w:val="18"/>
              </w:rPr>
            </w:pPr>
            <w:r>
              <w:rPr>
                <w:rFonts w:hint="eastAsia" w:ascii="宋体" w:hAnsi="宋体" w:cs="宋体"/>
                <w:color w:val="000000"/>
                <w:kern w:val="0"/>
                <w:sz w:val="18"/>
                <w:szCs w:val="18"/>
              </w:rPr>
              <w:t>检查塑封包装，不符合标准不进行取件</w:t>
            </w:r>
          </w:p>
        </w:tc>
        <w:tc>
          <w:tcPr>
            <w:tcW w:w="14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0.5元/次</w:t>
            </w:r>
          </w:p>
        </w:tc>
      </w:tr>
      <w:tr>
        <w:tblPrEx>
          <w:tblCellMar>
            <w:top w:w="15" w:type="dxa"/>
            <w:left w:w="15" w:type="dxa"/>
            <w:bottom w:w="15" w:type="dxa"/>
            <w:right w:w="15" w:type="dxa"/>
          </w:tblCellMar>
        </w:tblPrEx>
        <w:trPr>
          <w:trHeight w:val="523" w:hRule="atLeast"/>
        </w:trPr>
        <w:tc>
          <w:tcPr>
            <w:tcW w:w="709"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3</w:t>
            </w:r>
          </w:p>
        </w:tc>
        <w:tc>
          <w:tcPr>
            <w:tcW w:w="1701"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检查原包装（丢失）</w:t>
            </w:r>
          </w:p>
        </w:tc>
        <w:tc>
          <w:tcPr>
            <w:tcW w:w="4252" w:type="dxa"/>
            <w:tcBorders>
              <w:top w:val="nil"/>
              <w:left w:val="nil"/>
              <w:bottom w:val="single" w:color="auto" w:sz="8" w:space="0"/>
              <w:right w:val="single" w:color="auto" w:sz="8" w:space="0"/>
            </w:tcBorders>
            <w:noWrap/>
            <w:tcMar>
              <w:top w:w="0" w:type="dxa"/>
              <w:left w:w="108" w:type="dxa"/>
              <w:bottom w:w="0" w:type="dxa"/>
              <w:right w:w="108" w:type="dxa"/>
            </w:tcMar>
            <w:vAlign w:val="center"/>
          </w:tcPr>
          <w:p>
            <w:pPr>
              <w:widowControl/>
              <w:spacing w:before="100" w:beforeAutospacing="1" w:after="100" w:afterAutospacing="1"/>
              <w:jc w:val="left"/>
              <w:rPr>
                <w:rFonts w:ascii="宋体" w:hAnsi="宋体" w:cs="宋体"/>
                <w:color w:val="000000"/>
                <w:kern w:val="0"/>
                <w:sz w:val="18"/>
                <w:szCs w:val="18"/>
              </w:rPr>
            </w:pPr>
            <w:r>
              <w:rPr>
                <w:rFonts w:hint="eastAsia" w:ascii="宋体" w:hAnsi="宋体" w:cs="宋体"/>
                <w:color w:val="000000"/>
                <w:kern w:val="0"/>
                <w:sz w:val="18"/>
                <w:szCs w:val="18"/>
              </w:rPr>
              <w:t>检查原包装，不符合标准不进行取件</w:t>
            </w:r>
          </w:p>
        </w:tc>
        <w:tc>
          <w:tcPr>
            <w:tcW w:w="14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0.5元/次</w:t>
            </w:r>
          </w:p>
        </w:tc>
      </w:tr>
      <w:tr>
        <w:tblPrEx>
          <w:tblCellMar>
            <w:top w:w="15" w:type="dxa"/>
            <w:left w:w="15" w:type="dxa"/>
            <w:bottom w:w="15" w:type="dxa"/>
            <w:right w:w="15" w:type="dxa"/>
          </w:tblCellMar>
        </w:tblPrEx>
        <w:trPr>
          <w:trHeight w:val="523" w:hRule="atLeast"/>
        </w:trPr>
        <w:tc>
          <w:tcPr>
            <w:tcW w:w="709"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4</w:t>
            </w:r>
          </w:p>
        </w:tc>
        <w:tc>
          <w:tcPr>
            <w:tcW w:w="1701"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检查原包装（破损）</w:t>
            </w:r>
          </w:p>
        </w:tc>
        <w:tc>
          <w:tcPr>
            <w:tcW w:w="4252" w:type="dxa"/>
            <w:tcBorders>
              <w:top w:val="nil"/>
              <w:left w:val="nil"/>
              <w:bottom w:val="single" w:color="auto" w:sz="8" w:space="0"/>
              <w:right w:val="single" w:color="auto" w:sz="8" w:space="0"/>
            </w:tcBorders>
            <w:noWrap/>
            <w:tcMar>
              <w:top w:w="0" w:type="dxa"/>
              <w:left w:w="108" w:type="dxa"/>
              <w:bottom w:w="0" w:type="dxa"/>
              <w:right w:w="108" w:type="dxa"/>
            </w:tcMar>
            <w:vAlign w:val="center"/>
          </w:tcPr>
          <w:p>
            <w:pPr>
              <w:widowControl/>
              <w:spacing w:before="100" w:beforeAutospacing="1" w:after="100" w:afterAutospacing="1"/>
              <w:jc w:val="left"/>
              <w:rPr>
                <w:rFonts w:ascii="宋体" w:hAnsi="宋体" w:cs="宋体"/>
                <w:color w:val="000000"/>
                <w:kern w:val="0"/>
                <w:sz w:val="18"/>
                <w:szCs w:val="18"/>
              </w:rPr>
            </w:pPr>
            <w:r>
              <w:rPr>
                <w:rFonts w:hint="eastAsia" w:ascii="宋体" w:hAnsi="宋体" w:cs="宋体"/>
                <w:color w:val="000000"/>
                <w:kern w:val="0"/>
                <w:sz w:val="18"/>
                <w:szCs w:val="18"/>
              </w:rPr>
              <w:t>检查原包装，破损情况不符合标准不进行取件</w:t>
            </w:r>
          </w:p>
        </w:tc>
        <w:tc>
          <w:tcPr>
            <w:tcW w:w="14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0.5元/次</w:t>
            </w:r>
          </w:p>
        </w:tc>
      </w:tr>
      <w:tr>
        <w:tblPrEx>
          <w:tblCellMar>
            <w:top w:w="15" w:type="dxa"/>
            <w:left w:w="15" w:type="dxa"/>
            <w:bottom w:w="15" w:type="dxa"/>
            <w:right w:w="15" w:type="dxa"/>
          </w:tblCellMar>
        </w:tblPrEx>
        <w:trPr>
          <w:trHeight w:val="523" w:hRule="atLeast"/>
        </w:trPr>
        <w:tc>
          <w:tcPr>
            <w:tcW w:w="709"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5</w:t>
            </w:r>
          </w:p>
        </w:tc>
        <w:tc>
          <w:tcPr>
            <w:tcW w:w="1701" w:type="dxa"/>
            <w:tcBorders>
              <w:top w:val="nil"/>
              <w:left w:val="nil"/>
              <w:bottom w:val="single" w:color="auto" w:sz="8" w:space="0"/>
              <w:right w:val="single" w:color="auto" w:sz="8" w:space="0"/>
            </w:tcBorders>
            <w:noWrap/>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检查附件</w:t>
            </w:r>
          </w:p>
        </w:tc>
        <w:tc>
          <w:tcPr>
            <w:tcW w:w="4252" w:type="dxa"/>
            <w:tcBorders>
              <w:top w:val="nil"/>
              <w:left w:val="nil"/>
              <w:bottom w:val="single" w:color="auto" w:sz="8" w:space="0"/>
              <w:right w:val="single" w:color="auto" w:sz="8" w:space="0"/>
            </w:tcBorders>
            <w:noWrap/>
            <w:tcMar>
              <w:top w:w="0" w:type="dxa"/>
              <w:left w:w="108" w:type="dxa"/>
              <w:bottom w:w="0" w:type="dxa"/>
              <w:right w:w="108" w:type="dxa"/>
            </w:tcMar>
            <w:vAlign w:val="center"/>
          </w:tcPr>
          <w:p>
            <w:pPr>
              <w:widowControl/>
              <w:spacing w:before="100" w:beforeAutospacing="1" w:after="100" w:afterAutospacing="1"/>
              <w:jc w:val="left"/>
              <w:rPr>
                <w:rFonts w:ascii="宋体" w:hAnsi="宋体" w:cs="宋体"/>
                <w:color w:val="000000"/>
                <w:kern w:val="0"/>
                <w:sz w:val="18"/>
                <w:szCs w:val="18"/>
              </w:rPr>
            </w:pPr>
            <w:r>
              <w:rPr>
                <w:rFonts w:hint="eastAsia" w:ascii="宋体" w:hAnsi="宋体" w:cs="宋体"/>
                <w:color w:val="000000"/>
                <w:kern w:val="0"/>
                <w:sz w:val="18"/>
                <w:szCs w:val="18"/>
              </w:rPr>
              <w:t>检查主商品对应的附件，情况不符合标准不进行取件</w:t>
            </w:r>
          </w:p>
        </w:tc>
        <w:tc>
          <w:tcPr>
            <w:tcW w:w="14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0.5元/次</w:t>
            </w:r>
          </w:p>
        </w:tc>
      </w:tr>
      <w:tr>
        <w:tblPrEx>
          <w:tblCellMar>
            <w:top w:w="15" w:type="dxa"/>
            <w:left w:w="15" w:type="dxa"/>
            <w:bottom w:w="15" w:type="dxa"/>
            <w:right w:w="15" w:type="dxa"/>
          </w:tblCellMar>
        </w:tblPrEx>
        <w:trPr>
          <w:trHeight w:val="523" w:hRule="atLeast"/>
        </w:trPr>
        <w:tc>
          <w:tcPr>
            <w:tcW w:w="709"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6</w:t>
            </w:r>
          </w:p>
        </w:tc>
        <w:tc>
          <w:tcPr>
            <w:tcW w:w="1701" w:type="dxa"/>
            <w:tcBorders>
              <w:top w:val="nil"/>
              <w:left w:val="nil"/>
              <w:bottom w:val="single" w:color="auto" w:sz="8" w:space="0"/>
              <w:right w:val="single" w:color="auto" w:sz="8" w:space="0"/>
            </w:tcBorders>
            <w:noWrap/>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检查商品外观</w:t>
            </w:r>
          </w:p>
        </w:tc>
        <w:tc>
          <w:tcPr>
            <w:tcW w:w="4252" w:type="dxa"/>
            <w:tcBorders>
              <w:top w:val="nil"/>
              <w:left w:val="nil"/>
              <w:bottom w:val="single" w:color="auto" w:sz="8" w:space="0"/>
              <w:right w:val="single" w:color="auto" w:sz="8" w:space="0"/>
            </w:tcBorders>
            <w:noWrap/>
            <w:tcMar>
              <w:top w:w="0" w:type="dxa"/>
              <w:left w:w="108" w:type="dxa"/>
              <w:bottom w:w="0" w:type="dxa"/>
              <w:right w:w="108" w:type="dxa"/>
            </w:tcMar>
            <w:vAlign w:val="center"/>
          </w:tcPr>
          <w:p>
            <w:pPr>
              <w:widowControl/>
              <w:spacing w:before="100" w:beforeAutospacing="1" w:after="100" w:afterAutospacing="1"/>
              <w:jc w:val="left"/>
              <w:rPr>
                <w:rFonts w:ascii="宋体" w:hAnsi="宋体" w:cs="宋体"/>
                <w:color w:val="000000"/>
                <w:kern w:val="0"/>
                <w:sz w:val="18"/>
                <w:szCs w:val="18"/>
              </w:rPr>
            </w:pPr>
            <w:r>
              <w:rPr>
                <w:rFonts w:hint="eastAsia" w:ascii="宋体" w:hAnsi="宋体" w:cs="宋体"/>
                <w:color w:val="000000"/>
                <w:kern w:val="0"/>
                <w:sz w:val="18"/>
                <w:szCs w:val="18"/>
              </w:rPr>
              <w:t>检查主商品外观，不符合标准不进行取件</w:t>
            </w:r>
          </w:p>
        </w:tc>
        <w:tc>
          <w:tcPr>
            <w:tcW w:w="14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0.5元/次</w:t>
            </w:r>
          </w:p>
        </w:tc>
      </w:tr>
      <w:tr>
        <w:tblPrEx>
          <w:tblCellMar>
            <w:top w:w="15" w:type="dxa"/>
            <w:left w:w="15" w:type="dxa"/>
            <w:bottom w:w="15" w:type="dxa"/>
            <w:right w:w="15" w:type="dxa"/>
          </w:tblCellMar>
        </w:tblPrEx>
        <w:trPr>
          <w:trHeight w:val="523" w:hRule="atLeast"/>
        </w:trPr>
        <w:tc>
          <w:tcPr>
            <w:tcW w:w="709"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7</w:t>
            </w:r>
          </w:p>
        </w:tc>
        <w:tc>
          <w:tcPr>
            <w:tcW w:w="1701" w:type="dxa"/>
            <w:tcBorders>
              <w:top w:val="nil"/>
              <w:left w:val="nil"/>
              <w:bottom w:val="single" w:color="auto" w:sz="8" w:space="0"/>
              <w:right w:val="single" w:color="auto" w:sz="8" w:space="0"/>
            </w:tcBorders>
            <w:noWrap/>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检查使用情况</w:t>
            </w:r>
          </w:p>
        </w:tc>
        <w:tc>
          <w:tcPr>
            <w:tcW w:w="4252" w:type="dxa"/>
            <w:tcBorders>
              <w:top w:val="nil"/>
              <w:left w:val="nil"/>
              <w:bottom w:val="single" w:color="auto" w:sz="8" w:space="0"/>
              <w:right w:val="single" w:color="auto" w:sz="8" w:space="0"/>
            </w:tcBorders>
            <w:noWrap/>
            <w:tcMar>
              <w:top w:w="0" w:type="dxa"/>
              <w:left w:w="108" w:type="dxa"/>
              <w:bottom w:w="0" w:type="dxa"/>
              <w:right w:w="108" w:type="dxa"/>
            </w:tcMar>
            <w:vAlign w:val="center"/>
          </w:tcPr>
          <w:p>
            <w:pPr>
              <w:widowControl/>
              <w:spacing w:before="100" w:beforeAutospacing="1" w:after="100" w:afterAutospacing="1"/>
              <w:jc w:val="left"/>
              <w:rPr>
                <w:rFonts w:ascii="宋体" w:hAnsi="宋体" w:cs="宋体"/>
                <w:color w:val="000000"/>
                <w:kern w:val="0"/>
                <w:sz w:val="18"/>
                <w:szCs w:val="18"/>
              </w:rPr>
            </w:pPr>
            <w:r>
              <w:rPr>
                <w:rFonts w:hint="eastAsia" w:ascii="宋体" w:hAnsi="宋体" w:cs="宋体"/>
                <w:color w:val="000000"/>
                <w:kern w:val="0"/>
                <w:sz w:val="18"/>
                <w:szCs w:val="18"/>
              </w:rPr>
              <w:t>吃/喝/洗漱品/食品饮料/化妆品已使用不进行取件</w:t>
            </w:r>
          </w:p>
        </w:tc>
        <w:tc>
          <w:tcPr>
            <w:tcW w:w="14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0.5元/次</w:t>
            </w:r>
          </w:p>
        </w:tc>
      </w:tr>
      <w:tr>
        <w:tblPrEx>
          <w:tblCellMar>
            <w:top w:w="15" w:type="dxa"/>
            <w:left w:w="15" w:type="dxa"/>
            <w:bottom w:w="15" w:type="dxa"/>
            <w:right w:w="15" w:type="dxa"/>
          </w:tblCellMar>
        </w:tblPrEx>
        <w:trPr>
          <w:trHeight w:val="523" w:hRule="atLeast"/>
        </w:trPr>
        <w:tc>
          <w:tcPr>
            <w:tcW w:w="709"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8</w:t>
            </w:r>
          </w:p>
        </w:tc>
        <w:tc>
          <w:tcPr>
            <w:tcW w:w="1701" w:type="dxa"/>
            <w:tcBorders>
              <w:top w:val="nil"/>
              <w:left w:val="nil"/>
              <w:bottom w:val="single" w:color="auto" w:sz="8" w:space="0"/>
              <w:right w:val="single" w:color="auto" w:sz="8" w:space="0"/>
            </w:tcBorders>
            <w:noWrap/>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检查SN码</w:t>
            </w:r>
          </w:p>
        </w:tc>
        <w:tc>
          <w:tcPr>
            <w:tcW w:w="4252" w:type="dxa"/>
            <w:tcBorders>
              <w:top w:val="nil"/>
              <w:left w:val="nil"/>
              <w:bottom w:val="single" w:color="auto" w:sz="8" w:space="0"/>
              <w:right w:val="single" w:color="auto" w:sz="8" w:space="0"/>
            </w:tcBorders>
            <w:noWrap/>
            <w:tcMar>
              <w:top w:w="0" w:type="dxa"/>
              <w:left w:w="108" w:type="dxa"/>
              <w:bottom w:w="0" w:type="dxa"/>
              <w:right w:w="108" w:type="dxa"/>
            </w:tcMar>
            <w:vAlign w:val="center"/>
          </w:tcPr>
          <w:p>
            <w:pPr>
              <w:widowControl/>
              <w:spacing w:before="100" w:beforeAutospacing="1" w:after="100" w:afterAutospacing="1"/>
              <w:jc w:val="left"/>
              <w:rPr>
                <w:rFonts w:ascii="宋体" w:hAnsi="宋体" w:cs="宋体"/>
                <w:color w:val="000000"/>
                <w:kern w:val="0"/>
                <w:sz w:val="18"/>
                <w:szCs w:val="18"/>
              </w:rPr>
            </w:pPr>
            <w:r>
              <w:rPr>
                <w:rFonts w:hint="eastAsia" w:ascii="宋体" w:hAnsi="宋体" w:cs="宋体"/>
                <w:color w:val="000000"/>
                <w:kern w:val="0"/>
                <w:sz w:val="18"/>
                <w:szCs w:val="18"/>
              </w:rPr>
              <w:t>检查SN码，SN码不匹配不进行取件</w:t>
            </w:r>
          </w:p>
        </w:tc>
        <w:tc>
          <w:tcPr>
            <w:tcW w:w="14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0.5元/次</w:t>
            </w:r>
          </w:p>
        </w:tc>
      </w:tr>
      <w:tr>
        <w:tblPrEx>
          <w:tblCellMar>
            <w:top w:w="15" w:type="dxa"/>
            <w:left w:w="15" w:type="dxa"/>
            <w:bottom w:w="15" w:type="dxa"/>
            <w:right w:w="15" w:type="dxa"/>
          </w:tblCellMar>
        </w:tblPrEx>
        <w:trPr>
          <w:trHeight w:val="523" w:hRule="atLeast"/>
        </w:trPr>
        <w:tc>
          <w:tcPr>
            <w:tcW w:w="709"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9</w:t>
            </w:r>
          </w:p>
        </w:tc>
        <w:tc>
          <w:tcPr>
            <w:tcW w:w="1701" w:type="dxa"/>
            <w:tcBorders>
              <w:top w:val="nil"/>
              <w:left w:val="nil"/>
              <w:bottom w:val="single" w:color="auto" w:sz="8" w:space="0"/>
              <w:right w:val="single" w:color="auto" w:sz="8" w:space="0"/>
            </w:tcBorders>
            <w:noWrap/>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商品拍照</w:t>
            </w:r>
          </w:p>
        </w:tc>
        <w:tc>
          <w:tcPr>
            <w:tcW w:w="4252" w:type="dxa"/>
            <w:tcBorders>
              <w:top w:val="nil"/>
              <w:left w:val="nil"/>
              <w:bottom w:val="single" w:color="auto" w:sz="8" w:space="0"/>
              <w:right w:val="single" w:color="auto" w:sz="8" w:space="0"/>
            </w:tcBorders>
            <w:noWrap/>
            <w:tcMar>
              <w:top w:w="0" w:type="dxa"/>
              <w:left w:w="108" w:type="dxa"/>
              <w:bottom w:w="0" w:type="dxa"/>
              <w:right w:w="108" w:type="dxa"/>
            </w:tcMar>
            <w:vAlign w:val="center"/>
          </w:tcPr>
          <w:p>
            <w:pPr>
              <w:widowControl/>
              <w:spacing w:before="100" w:beforeAutospacing="1" w:after="100" w:afterAutospacing="1"/>
              <w:jc w:val="left"/>
              <w:rPr>
                <w:rFonts w:ascii="宋体" w:hAnsi="宋体" w:cs="宋体"/>
                <w:color w:val="000000"/>
                <w:kern w:val="0"/>
                <w:sz w:val="18"/>
                <w:szCs w:val="18"/>
              </w:rPr>
            </w:pPr>
            <w:r>
              <w:rPr>
                <w:rFonts w:hint="eastAsia" w:ascii="宋体" w:hAnsi="宋体" w:cs="宋体"/>
                <w:color w:val="000000"/>
                <w:kern w:val="0"/>
                <w:sz w:val="18"/>
                <w:szCs w:val="18"/>
              </w:rPr>
              <w:t>对取件任务涉及到的所有主产品进行拍照</w:t>
            </w:r>
          </w:p>
        </w:tc>
        <w:tc>
          <w:tcPr>
            <w:tcW w:w="14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0.5元/单</w:t>
            </w:r>
          </w:p>
        </w:tc>
      </w:tr>
      <w:tr>
        <w:tblPrEx>
          <w:tblCellMar>
            <w:top w:w="15" w:type="dxa"/>
            <w:left w:w="15" w:type="dxa"/>
            <w:bottom w:w="15" w:type="dxa"/>
            <w:right w:w="15" w:type="dxa"/>
          </w:tblCellMar>
        </w:tblPrEx>
        <w:trPr>
          <w:trHeight w:val="523" w:hRule="atLeast"/>
        </w:trPr>
        <w:tc>
          <w:tcPr>
            <w:tcW w:w="709" w:type="dxa"/>
            <w:tcBorders>
              <w:top w:val="nil"/>
              <w:left w:val="single" w:color="auto" w:sz="8" w:space="0"/>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10</w:t>
            </w:r>
          </w:p>
        </w:tc>
        <w:tc>
          <w:tcPr>
            <w:tcW w:w="1701"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防撕码收集</w:t>
            </w:r>
          </w:p>
        </w:tc>
        <w:tc>
          <w:tcPr>
            <w:tcW w:w="4252" w:type="dxa"/>
            <w:tcBorders>
              <w:top w:val="nil"/>
              <w:left w:val="nil"/>
              <w:bottom w:val="single" w:color="auto" w:sz="8" w:space="0"/>
              <w:right w:val="single" w:color="auto" w:sz="8" w:space="0"/>
            </w:tcBorders>
            <w:noWrap/>
            <w:tcMar>
              <w:top w:w="0" w:type="dxa"/>
              <w:left w:w="108" w:type="dxa"/>
              <w:bottom w:w="0" w:type="dxa"/>
              <w:right w:w="108" w:type="dxa"/>
            </w:tcMar>
            <w:vAlign w:val="center"/>
          </w:tcPr>
          <w:p>
            <w:pPr>
              <w:widowControl/>
              <w:spacing w:before="100" w:beforeAutospacing="1" w:after="100" w:afterAutospacing="1"/>
              <w:jc w:val="left"/>
              <w:rPr>
                <w:rFonts w:ascii="宋体" w:hAnsi="宋体" w:cs="宋体"/>
                <w:color w:val="000000"/>
                <w:kern w:val="0"/>
                <w:sz w:val="18"/>
                <w:szCs w:val="18"/>
              </w:rPr>
            </w:pPr>
            <w:r>
              <w:rPr>
                <w:rFonts w:hint="eastAsia" w:ascii="宋体" w:hAnsi="宋体" w:cs="宋体"/>
                <w:color w:val="000000"/>
                <w:kern w:val="0"/>
                <w:sz w:val="18"/>
                <w:szCs w:val="18"/>
              </w:rPr>
              <w:t>在包装封口处粘贴具有唯一条码的标示贴</w:t>
            </w:r>
          </w:p>
        </w:tc>
        <w:tc>
          <w:tcPr>
            <w:tcW w:w="1418" w:type="dxa"/>
            <w:tcBorders>
              <w:top w:val="nil"/>
              <w:left w:val="nil"/>
              <w:bottom w:val="single" w:color="auto" w:sz="8" w:space="0"/>
              <w:right w:val="single" w:color="auto" w:sz="8" w:space="0"/>
            </w:tcBorders>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18"/>
              </w:rPr>
            </w:pPr>
            <w:r>
              <w:rPr>
                <w:rFonts w:hint="eastAsia" w:ascii="宋体" w:hAnsi="宋体" w:cs="宋体"/>
                <w:color w:val="000000"/>
                <w:kern w:val="0"/>
                <w:sz w:val="18"/>
                <w:szCs w:val="18"/>
              </w:rPr>
              <w:t>0.5元/单</w:t>
            </w:r>
          </w:p>
        </w:tc>
      </w:tr>
    </w:tbl>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（备注：乙方按上述检验标准提供取货验货服务及按该标准进行商品交付，上述标准之外的商品情况，乙方不负责验视，甲方不得因验视标准之外的商品差异而拒收或拒付费用）。</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3、理赔标准</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乙方未按本协议约定的服务标准提供服务的，针对该等商品的验货服务费用进行全额免除。</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在合作期间内，甲方同意按照协议约定的价格向乙方支付服务费用，且认可乙方有权根据经营需要对服务解决方案及价格进行调整，乙方书面通知后甲方无异议，视为甲方同意按照最新价格进行结算。</w:t>
      </w:r>
    </w:p>
    <w:p>
      <w:pPr>
        <w:widowControl/>
        <w:spacing w:before="100" w:beforeAutospacing="1" w:after="120"/>
        <w:jc w:val="left"/>
        <w:rPr>
          <w:rFonts w:ascii="宋体" w:hAnsi="宋体" w:cs="宋体"/>
          <w:color w:val="000000"/>
          <w:kern w:val="0"/>
          <w:sz w:val="23"/>
          <w:szCs w:val="23"/>
        </w:rPr>
      </w:pPr>
    </w:p>
    <w:p>
      <w:pPr>
        <w:widowControl/>
        <w:spacing w:before="100" w:beforeAutospacing="1" w:after="120"/>
        <w:jc w:val="left"/>
        <w:rPr>
          <w:rFonts w:ascii="宋体" w:hAnsi="宋体" w:cs="宋体"/>
          <w:color w:val="000000"/>
          <w:kern w:val="0"/>
          <w:sz w:val="23"/>
          <w:szCs w:val="23"/>
        </w:rPr>
      </w:pPr>
    </w:p>
    <w:p>
      <w:pPr>
        <w:widowControl/>
        <w:spacing w:before="100" w:beforeAutospacing="1" w:after="120"/>
        <w:jc w:val="left"/>
        <w:rPr>
          <w:rFonts w:ascii="宋体" w:hAnsi="宋体" w:cs="宋体"/>
          <w:color w:val="000000"/>
          <w:kern w:val="0"/>
          <w:sz w:val="23"/>
          <w:szCs w:val="23"/>
        </w:rPr>
      </w:pPr>
      <w:r>
        <w:rPr>
          <w:rFonts w:hint="eastAsia" w:ascii="宋体" w:hAnsi="宋体" w:cs="宋体"/>
          <w:b/>
          <w:bCs/>
          <w:color w:val="000000"/>
          <w:kern w:val="0"/>
          <w:sz w:val="23"/>
          <w:szCs w:val="23"/>
        </w:rPr>
        <w:t>附件七：循环保温箱服务补充协议</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1、循环保温箱服务内容</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1.1、循环保温箱服务定义：</w:t>
      </w:r>
    </w:p>
    <w:p>
      <w:pPr>
        <w:widowControl/>
        <w:spacing w:before="100" w:beforeAutospacing="1" w:after="100" w:afterAutospacing="1"/>
        <w:ind w:left="360"/>
        <w:jc w:val="left"/>
        <w:rPr>
          <w:rFonts w:ascii="宋体" w:hAnsi="宋体" w:cs="宋体"/>
          <w:color w:val="000000"/>
          <w:kern w:val="0"/>
          <w:sz w:val="23"/>
          <w:szCs w:val="23"/>
        </w:rPr>
      </w:pPr>
      <w:r>
        <w:rPr>
          <w:rFonts w:hint="eastAsia" w:ascii="宋体" w:hAnsi="宋体" w:cs="宋体"/>
          <w:color w:val="000000"/>
          <w:kern w:val="0"/>
          <w:sz w:val="23"/>
          <w:szCs w:val="23"/>
        </w:rPr>
        <w:t>是乙方就甲方托寄的冷冻、冷藏生鲜品类商品提供的快递增值服务。即乙方按甲方需求提供一定数量的循环保温箱（以下或简称“箱子”）放置于甲方处，由甲方按自身需求用于该品类的商品寄递并支付服务费，具体费用标准、使用规则及流程以本协议约定为准。</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2、服务价格：</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2.1、保温箱服务标准价格10元/个。</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2.2、若甲方选择了该服务，相应订单的快递费按保温箱外包装重量体积计算。</w:t>
      </w:r>
    </w:p>
    <w:tbl>
      <w:tblPr>
        <w:tblStyle w:val="23"/>
        <w:tblW w:w="0" w:type="auto"/>
        <w:tblInd w:w="580" w:type="dxa"/>
        <w:tblLayout w:type="autofit"/>
        <w:tblCellMar>
          <w:top w:w="15" w:type="dxa"/>
          <w:left w:w="15" w:type="dxa"/>
          <w:bottom w:w="15" w:type="dxa"/>
          <w:right w:w="15" w:type="dxa"/>
        </w:tblCellMar>
      </w:tblPr>
      <w:tblGrid>
        <w:gridCol w:w="2069"/>
        <w:gridCol w:w="2080"/>
      </w:tblGrid>
      <w:tr>
        <w:tblPrEx>
          <w:tblCellMar>
            <w:top w:w="15" w:type="dxa"/>
            <w:left w:w="15" w:type="dxa"/>
            <w:bottom w:w="15" w:type="dxa"/>
            <w:right w:w="15" w:type="dxa"/>
          </w:tblCellMar>
        </w:tblPrEx>
        <w:trPr>
          <w:trHeight w:val="483" w:hRule="atLeast"/>
        </w:trPr>
        <w:tc>
          <w:tcPr>
            <w:tcW w:w="2069"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widowControl/>
              <w:spacing w:before="100" w:after="100"/>
              <w:ind w:right="84"/>
              <w:jc w:val="center"/>
              <w:rPr>
                <w:rFonts w:ascii="宋体" w:hAnsi="宋体" w:cs="宋体"/>
                <w:color w:val="000000"/>
                <w:kern w:val="0"/>
                <w:sz w:val="23"/>
                <w:szCs w:val="23"/>
              </w:rPr>
            </w:pPr>
            <w:r>
              <w:rPr>
                <w:rFonts w:hint="eastAsia" w:ascii="宋体" w:hAnsi="宋体" w:cs="宋体"/>
                <w:color w:val="000000"/>
                <w:kern w:val="0"/>
                <w:sz w:val="23"/>
                <w:szCs w:val="23"/>
              </w:rPr>
              <w:t>产品规格</w:t>
            </w:r>
          </w:p>
        </w:tc>
        <w:tc>
          <w:tcPr>
            <w:tcW w:w="2080" w:type="dxa"/>
            <w:tcBorders>
              <w:top w:val="single" w:color="auto" w:sz="8" w:space="0"/>
              <w:left w:val="single" w:color="auto" w:sz="8" w:space="0"/>
              <w:bottom w:val="single" w:color="auto" w:sz="8" w:space="0"/>
              <w:right w:val="single" w:color="auto" w:sz="8" w:space="0"/>
            </w:tcBorders>
            <w:tcMar>
              <w:top w:w="0" w:type="dxa"/>
              <w:left w:w="108" w:type="dxa"/>
              <w:bottom w:w="0" w:type="dxa"/>
              <w:right w:w="108" w:type="dxa"/>
            </w:tcMar>
          </w:tcPr>
          <w:p>
            <w:pPr>
              <w:widowControl/>
              <w:spacing w:before="100" w:after="100"/>
              <w:ind w:right="84"/>
              <w:jc w:val="center"/>
              <w:rPr>
                <w:rFonts w:ascii="宋体" w:hAnsi="宋体" w:cs="宋体"/>
                <w:color w:val="000000"/>
                <w:kern w:val="0"/>
                <w:sz w:val="23"/>
                <w:szCs w:val="23"/>
              </w:rPr>
            </w:pPr>
            <w:r>
              <w:rPr>
                <w:rFonts w:hint="eastAsia" w:ascii="宋体" w:hAnsi="宋体" w:cs="宋体"/>
                <w:color w:val="000000"/>
                <w:kern w:val="0"/>
                <w:sz w:val="23"/>
                <w:szCs w:val="23"/>
              </w:rPr>
              <w:t>箱子重量</w:t>
            </w:r>
          </w:p>
        </w:tc>
      </w:tr>
      <w:tr>
        <w:tblPrEx>
          <w:tblCellMar>
            <w:top w:w="15" w:type="dxa"/>
            <w:left w:w="15" w:type="dxa"/>
            <w:bottom w:w="15" w:type="dxa"/>
            <w:right w:w="15" w:type="dxa"/>
          </w:tblCellMar>
        </w:tblPrEx>
        <w:trPr>
          <w:trHeight w:val="483" w:hRule="atLeast"/>
        </w:trPr>
        <w:tc>
          <w:tcPr>
            <w:tcW w:w="2069"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spacing w:before="100" w:after="100"/>
              <w:ind w:right="84"/>
              <w:jc w:val="center"/>
              <w:rPr>
                <w:rFonts w:ascii="宋体" w:hAnsi="宋体" w:cs="宋体"/>
                <w:color w:val="000000"/>
                <w:kern w:val="0"/>
                <w:sz w:val="23"/>
                <w:szCs w:val="23"/>
              </w:rPr>
            </w:pPr>
            <w:r>
              <w:rPr>
                <w:rFonts w:hint="eastAsia" w:ascii="宋体" w:hAnsi="宋体" w:cs="宋体"/>
                <w:color w:val="000000"/>
                <w:kern w:val="0"/>
                <w:sz w:val="23"/>
                <w:szCs w:val="23"/>
              </w:rPr>
              <w:t>15L保温箱</w:t>
            </w:r>
          </w:p>
        </w:tc>
        <w:tc>
          <w:tcPr>
            <w:tcW w:w="2080"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spacing w:before="100" w:after="100"/>
              <w:ind w:right="84"/>
              <w:jc w:val="center"/>
              <w:rPr>
                <w:rFonts w:ascii="宋体" w:hAnsi="宋体" w:cs="宋体"/>
                <w:color w:val="000000"/>
                <w:kern w:val="0"/>
                <w:sz w:val="23"/>
                <w:szCs w:val="23"/>
              </w:rPr>
            </w:pPr>
            <w:r>
              <w:rPr>
                <w:rFonts w:hint="eastAsia" w:ascii="宋体" w:hAnsi="宋体" w:cs="宋体"/>
                <w:color w:val="000000"/>
                <w:kern w:val="0"/>
                <w:sz w:val="23"/>
                <w:szCs w:val="23"/>
              </w:rPr>
              <w:t>2.8kg±10%</w:t>
            </w:r>
          </w:p>
        </w:tc>
      </w:tr>
      <w:tr>
        <w:tblPrEx>
          <w:tblCellMar>
            <w:top w:w="15" w:type="dxa"/>
            <w:left w:w="15" w:type="dxa"/>
            <w:bottom w:w="15" w:type="dxa"/>
            <w:right w:w="15" w:type="dxa"/>
          </w:tblCellMar>
        </w:tblPrEx>
        <w:trPr>
          <w:trHeight w:val="483" w:hRule="atLeast"/>
        </w:trPr>
        <w:tc>
          <w:tcPr>
            <w:tcW w:w="2069"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spacing w:before="100" w:after="100"/>
              <w:ind w:right="84"/>
              <w:jc w:val="center"/>
              <w:rPr>
                <w:rFonts w:ascii="宋体" w:hAnsi="宋体" w:cs="宋体"/>
                <w:color w:val="000000"/>
                <w:kern w:val="0"/>
                <w:sz w:val="23"/>
                <w:szCs w:val="23"/>
              </w:rPr>
            </w:pPr>
            <w:r>
              <w:rPr>
                <w:rFonts w:hint="eastAsia" w:ascii="宋体" w:hAnsi="宋体" w:cs="宋体"/>
                <w:color w:val="000000"/>
                <w:kern w:val="0"/>
                <w:sz w:val="23"/>
                <w:szCs w:val="23"/>
              </w:rPr>
              <w:t>25L保温箱</w:t>
            </w:r>
          </w:p>
        </w:tc>
        <w:tc>
          <w:tcPr>
            <w:tcW w:w="2080" w:type="dxa"/>
            <w:tcBorders>
              <w:top w:val="nil"/>
              <w:left w:val="single" w:color="auto" w:sz="8" w:space="0"/>
              <w:bottom w:val="single" w:color="auto" w:sz="8" w:space="0"/>
              <w:right w:val="single" w:color="auto" w:sz="8" w:space="0"/>
            </w:tcBorders>
            <w:tcMar>
              <w:top w:w="0" w:type="dxa"/>
              <w:left w:w="108" w:type="dxa"/>
              <w:bottom w:w="0" w:type="dxa"/>
              <w:right w:w="108" w:type="dxa"/>
            </w:tcMar>
          </w:tcPr>
          <w:p>
            <w:pPr>
              <w:widowControl/>
              <w:spacing w:before="100" w:after="100"/>
              <w:ind w:right="84"/>
              <w:jc w:val="center"/>
              <w:rPr>
                <w:rFonts w:ascii="宋体" w:hAnsi="宋体" w:cs="宋体"/>
                <w:color w:val="000000"/>
                <w:kern w:val="0"/>
                <w:sz w:val="23"/>
                <w:szCs w:val="23"/>
              </w:rPr>
            </w:pPr>
            <w:r>
              <w:rPr>
                <w:rFonts w:hint="eastAsia" w:ascii="宋体" w:hAnsi="宋体" w:cs="宋体"/>
                <w:color w:val="000000"/>
                <w:kern w:val="0"/>
                <w:sz w:val="23"/>
                <w:szCs w:val="23"/>
              </w:rPr>
              <w:t>3.9kg±10%</w:t>
            </w:r>
          </w:p>
        </w:tc>
      </w:tr>
    </w:tbl>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3、服务范围说明：</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3.1、该服务仅适用于京东生鲜特快/生鲜特惠产品，下单其他产品无法使用本服务；</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3.2、该服务仅适用于纯配模式下的订单，即不适用于双方仓配一体业务下的配送订单；</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3.3、该服务仅适用于配送时效在3天内的订单，如甲方选择将该服务用于3天以外时效订单，因温度原因造成的托寄物腐败损坏的后果，由甲方自行承担；</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3.4、该服务仅使用特定的区域范围的订单，收派地址若跨一级行政区域的，不能适用本服务。若甲方未提供准确的地址信息或是变更地址信息造成相应的订单选用了本服务，则因温度原因造成的托寄物腐败损坏的后果，由甲方自行承担。</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4、下单说明：</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甲方下单时需要选择增值服务-保温箱服务，快递员系统才可绑定箱子提供服务，若该运单下单未选择本服务/下单本服务未成功/线路校验不支持保温箱服务，但甲方实际使用了保温箱，造成箱子丢失，甲方需要承担赔偿责任。</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5、循环保温箱的交付、返还及回收流程：</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5.1、甲方按自身寄递业务规划向乙方提出循环保温箱需求数量，乙方确认后双方按约定地点和时间进行循环保温箱交付。乙方按箱子现状进行交付，交付当日甲方需进行验收。</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5.2、若未投入使用，甲方需在交付满30日后归还乙方。双方按交付验收单的箱子状态进行归还的验收，若归还时箱子数量及质量有问题的，甲方应按以下标准赔偿：</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非因箱子本身耗损原因造成的灭失（包括但不限于丢失、被盗、被没收和/或充公、损毁等，单个箱体整体破损失去保温能力，视为灭失），由甲方承担赔偿责任，赔付标准为【150】元/个。</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5.3、若甲方按第4条约定下单流程投入使用的，由乙方进行回收。甲方不得将该循环保温箱用于非乙方承接的快递服务中，未经乙方同意，甲方不得对箱子结构及外观进行任何调整，包括但不限于加工改造、喷涂、拆除或对乙方外观的固有标识、箱子编码进行篡改、涂盖或者移除。甲方知悉箱子所有权不因本服务发生转移，即甲方不享有租赁物的处分权和收益权，甲方不得对箱子进行出售、转让、转租、质押、或授权第三方使用或以其它方式处置。</w:t>
      </w:r>
    </w:p>
    <w:p>
      <w:pPr>
        <w:widowControl/>
        <w:spacing w:before="100" w:beforeAutospacing="1" w:after="100" w:afterAutospacing="1"/>
        <w:jc w:val="left"/>
        <w:rPr>
          <w:rFonts w:ascii="宋体" w:hAnsi="宋体" w:cs="宋体"/>
          <w:color w:val="000000"/>
          <w:kern w:val="0"/>
          <w:sz w:val="23"/>
          <w:szCs w:val="23"/>
        </w:rPr>
      </w:pPr>
    </w:p>
    <w:p>
      <w:pPr>
        <w:rPr>
          <w:rFonts w:ascii="宋体" w:hAnsi="宋体"/>
          <w:sz w:val="23"/>
          <w:szCs w:val="23"/>
        </w:rPr>
      </w:pPr>
      <w:r>
        <w:rPr>
          <w:rStyle w:val="30"/>
          <w:lang w:val="zh-CN"/>
        </w:rPr>
        <w:commentReference w:id="42"/>
      </w:r>
    </w:p>
    <w:p>
      <w:pPr>
        <w:widowControl/>
        <w:spacing w:before="100" w:beforeAutospacing="1" w:after="120"/>
        <w:jc w:val="left"/>
        <w:rPr>
          <w:rFonts w:ascii="宋体" w:hAnsi="宋体" w:cs="宋体"/>
          <w:color w:val="000000"/>
          <w:kern w:val="0"/>
          <w:sz w:val="23"/>
          <w:szCs w:val="23"/>
        </w:rPr>
      </w:pPr>
      <w:r>
        <w:rPr>
          <w:rFonts w:hint="eastAsia" w:ascii="宋体" w:hAnsi="宋体" w:cs="宋体"/>
          <w:b/>
          <w:bCs/>
          <w:color w:val="000000"/>
          <w:kern w:val="0"/>
          <w:sz w:val="23"/>
          <w:szCs w:val="23"/>
          <w:shd w:val="clear" w:color="auto" w:fill="FFFFFF"/>
        </w:rPr>
        <w:t>附件九：函速达产品补充协议</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函速达产品补充协议仅针对函速达服务做出补充说明。</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1、服务内容</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1.1、函速达产品服务是指甲方有函件、宣传册等资料寄递需求时，乙方可通过系统对接等多种方式接收甲方待打印寄递资料，提供该等资料打印、包装及寄递的物流服务，乙方也可以按照甲方要求至指定地点上门取件、进行包装及寄递的物流服务。</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1.2、函速达产品仅支持A4纸张打印，如有其它样式要求，甲方须提前告知乙方，双方可就具体要求及收费另行协商达成书面约定。</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1.3、甲方使用函速达产品并享受本补充协议约定的价格，需同时满足以下条件：</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① 单票计费重量不超过0.5kg（含）。（计重规则：际重量与体积重量比较，取较重者为计费重量，体积重量(kg)的计算方法为:长度(cm) x 宽度(cm) x 高度（cm）/计泡系数，计泡系数为8000，计泡系数不可调整。）</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② 收寄地址为乙方已开通函速达产品的线路或城市。实际开通地以乙方通知为准。</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如甲方上述任一条件未满足的，不适用于函速达产品及价格，仍按照双方已签约的主合同及京东物流官网公示的产品及价格标准执行。</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2、双方权利义务</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1、甲方为依法成立的企业，有良好的履约能力，应当向乙方提供真实、合法、有效的下列证明文件，如因甲方提供的证明文件瑕疵导致乙方或第三方的损失，均由甲方承担:</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1.1营业执照以及其他生产、经营资格的证明文件；</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1.2质量检验机构对甲方函件、宣传册中有关商品质量内容出具的最新证明文件；</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1.3确认函件、宣传册内容和表现形式真实性、合法性的其他证明文件；</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1.4依照《广告法》规定，发布广告需要经过有关行政主管部门审查的，甲方还需提交有关批准文件。</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2、甲方保证不得在寄递的文件中不包含国家机关公文，提供的函件、宣传册等内容不违反《广告法》、《中华人民共和国邮政法》、《快递暂行条例》和其他相关法律、法规等规定；同时，甲方自行设计的函件、宣传侧的图稿、素材等内容不侵犯任何他人的知识产权，亦不构成针对他人的不正当竞争，无任何权利瑕疵，否则由此给乙方带来的全部损失均由甲方承担。</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3、乙方有权依据《广告法》以及其他相关法律法规规定，对广告内容和表现形式进行审查并通知甲方修改，在甲方未完成修改前乙方有权拒绝继续提供服务。</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4、乙方对甲方提供的函件、宣传册等仅进行书面审查，乙方的审查不免除甲方对提供的函件、宣传册内容的真实性、合法性、有效性及其他权利瑕疵的责任，甲方应当独立承担全部责任，并保证不给乙方造成任何不利影响和损失。</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5、甲方确保就其通过乙方打印及寄送函件、宣传册的全部行为已获得全部合法、有效的授权，包括但不限于函件、宣传册收寄件人、宣传册版权方的授权许可等。</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6、甲方仅可就自身业务使用乙方提供的函速达服务产品，不得利用乙方为任何第三方打印、下单、付款或从事快件揽收行为等，否则一经发现，甲方除了须补偿每票的差价外，还需承担差价的2倍金额为违约金，如给乙方带来其他损失的，甲方须一并承担，且乙方有权视情况单方通知终止双方部分甚至一切合作协议。</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7、函速达快件的逆向配送费用按甲方的收费标准及相关价格折扣约定（若有）。乙方有权将无法投递又无法退回快件根据《无法投递又无法退回快件管理规定》进行相应处置。</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3、计费规则及结算方式</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1、详见《函速达产品标准价格》。</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2、在合作期间内，甲方同意按照乙方提供的价格向乙方支付服务费用，且甲方同意乙方有权根据经营需要对服务产品及价格进行调整，包括但不限于线路增加、减少,价格变更等，如有异议，甲方应在收到乙方书面通知后3日内提出，逾期未提出异议视为甲方同意按照最新价格进行结算。</w:t>
      </w:r>
    </w:p>
    <w:p>
      <w:pPr>
        <w:rPr>
          <w:rFonts w:ascii="宋体" w:hAnsi="宋体"/>
          <w:sz w:val="23"/>
          <w:szCs w:val="23"/>
        </w:rPr>
      </w:pPr>
    </w:p>
    <w:p>
      <w:pPr>
        <w:rPr>
          <w:rFonts w:ascii="宋体" w:hAnsi="宋体"/>
          <w:sz w:val="23"/>
          <w:szCs w:val="23"/>
        </w:rPr>
      </w:pPr>
    </w:p>
    <w:p>
      <w:pPr>
        <w:widowControl/>
        <w:spacing w:before="100" w:beforeAutospacing="1" w:after="120"/>
        <w:jc w:val="left"/>
        <w:rPr>
          <w:rFonts w:ascii="宋体" w:hAnsi="宋体" w:cs="宋体"/>
          <w:color w:val="000000"/>
          <w:kern w:val="0"/>
          <w:sz w:val="23"/>
          <w:szCs w:val="23"/>
        </w:rPr>
      </w:pPr>
      <w:r>
        <w:rPr>
          <w:rFonts w:hint="eastAsia" w:ascii="宋体" w:hAnsi="宋体" w:cs="宋体"/>
          <w:b/>
          <w:bCs/>
          <w:color w:val="000000"/>
          <w:kern w:val="0"/>
          <w:sz w:val="23"/>
          <w:szCs w:val="23"/>
        </w:rPr>
        <w:t>附件十：生鲜仓配订单包装耗材收费补充协议</w:t>
      </w:r>
    </w:p>
    <w:p>
      <w:pPr>
        <w:widowControl/>
        <w:spacing w:before="100" w:beforeAutospacing="1" w:after="120"/>
        <w:jc w:val="left"/>
        <w:rPr>
          <w:rFonts w:ascii="宋体" w:hAnsi="宋体" w:cs="宋体"/>
          <w:color w:val="000000"/>
          <w:kern w:val="0"/>
          <w:sz w:val="23"/>
          <w:szCs w:val="23"/>
        </w:rPr>
      </w:pPr>
      <w:r>
        <w:rPr>
          <w:rFonts w:hint="eastAsia" w:ascii="宋体" w:hAnsi="宋体" w:cs="宋体"/>
          <w:b/>
          <w:bCs/>
          <w:color w:val="000000"/>
          <w:kern w:val="0"/>
          <w:sz w:val="23"/>
          <w:szCs w:val="23"/>
        </w:rPr>
        <w:t>一、服务内容</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1、根据甲方的需求，乙方为甲方提供生鲜仓配订单生产服务时，同时提供甲方订单生产所需的包装耗材；</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2、乙方根据甲方订单耗材的实际使用情况，依据双方本协议签订的耗材服务价格标准，收取相应耗材费用；</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3、乙方可提供目前生鲜仓库房中已储备的耗材，耗材型号及规格详见本协议服务价格表；</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4、乙方实际运营中，因电商节日促销等因素导致部分耗材型号库存不足，乙方将提供备选耗材型号，乙方保障备选耗材质量，备选耗材计费价格与甲方使用的常备耗材型号保持一致。</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5、当甲方同一生鲜仓配订单内包含多件同温层属性商品，且商品位于同一库房，乙方优先使用同一外包装耗材打包生产。若订单中存在特殊包装属性操作要求商品，乙方将针对需求特殊耗材的商品单独操作打包，订单所产生的包裹耗材费用根据耗材实际使用情况累加。</w:t>
      </w:r>
    </w:p>
    <w:p>
      <w:pPr>
        <w:widowControl/>
        <w:spacing w:before="100" w:beforeAutospacing="1" w:after="120"/>
        <w:jc w:val="left"/>
        <w:rPr>
          <w:rFonts w:ascii="宋体" w:hAnsi="宋体" w:cs="宋体"/>
          <w:color w:val="000000"/>
          <w:kern w:val="0"/>
          <w:sz w:val="23"/>
          <w:szCs w:val="23"/>
        </w:rPr>
      </w:pPr>
      <w:r>
        <w:rPr>
          <w:rFonts w:hint="eastAsia" w:ascii="宋体" w:hAnsi="宋体" w:cs="宋体"/>
          <w:b/>
          <w:bCs/>
          <w:color w:val="000000"/>
          <w:kern w:val="0"/>
          <w:sz w:val="23"/>
          <w:szCs w:val="23"/>
        </w:rPr>
        <w:t>二、产品适用模式</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1、适用产品线：生鲜冷链；</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2、适用模式：仓配；</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3、适用商家：适用POP、纯外单、FCS类型仓配商家，不适用于FBP类型仓配商家；</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4、适用仓库类型：京东生鲜仓、京东生鲜协同仓；</w:t>
      </w:r>
    </w:p>
    <w:p>
      <w:pPr>
        <w:widowControl/>
        <w:spacing w:before="100" w:beforeAutospacing="1" w:after="120"/>
        <w:jc w:val="left"/>
        <w:rPr>
          <w:rFonts w:ascii="宋体" w:hAnsi="宋体" w:cs="宋体"/>
          <w:color w:val="000000"/>
          <w:kern w:val="0"/>
          <w:sz w:val="23"/>
          <w:szCs w:val="23"/>
        </w:rPr>
      </w:pPr>
      <w:r>
        <w:rPr>
          <w:rFonts w:hint="eastAsia" w:ascii="宋体" w:hAnsi="宋体" w:cs="宋体"/>
          <w:b/>
          <w:bCs/>
          <w:color w:val="000000"/>
          <w:kern w:val="0"/>
          <w:sz w:val="23"/>
          <w:szCs w:val="23"/>
        </w:rPr>
        <w:t>三、结算</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1、乙方根据甲方订单的耗材使用实际情况计费，收费标准根据双方本协议签订的耗材服务价格；</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2、耗材费用结算账期与双方签订的主合同结算账期一致，耗材费用体现双方结算账单中；</w:t>
      </w:r>
    </w:p>
    <w:p>
      <w:pPr>
        <w:rPr>
          <w:rFonts w:ascii="宋体" w:hAnsi="宋体"/>
          <w:sz w:val="23"/>
          <w:szCs w:val="23"/>
        </w:rPr>
      </w:pPr>
      <w:r>
        <w:rPr>
          <w:rStyle w:val="30"/>
          <w:lang w:val="zh-CN"/>
        </w:rPr>
        <w:commentReference w:id="43"/>
      </w:r>
    </w:p>
    <w:p>
      <w:pPr>
        <w:rPr>
          <w:rFonts w:ascii="宋体" w:hAnsi="宋体"/>
          <w:sz w:val="23"/>
          <w:szCs w:val="23"/>
        </w:rPr>
      </w:pPr>
    </w:p>
    <w:p>
      <w:pPr>
        <w:rPr>
          <w:rFonts w:ascii="宋体" w:hAnsi="宋体"/>
          <w:sz w:val="23"/>
          <w:szCs w:val="23"/>
        </w:rPr>
      </w:pPr>
    </w:p>
    <w:p>
      <w:pPr>
        <w:widowControl/>
        <w:spacing w:before="100" w:beforeAutospacing="1" w:after="120"/>
        <w:jc w:val="left"/>
        <w:rPr>
          <w:rFonts w:ascii="宋体" w:hAnsi="宋体" w:cs="宋体"/>
          <w:color w:val="000000"/>
          <w:kern w:val="0"/>
          <w:sz w:val="23"/>
          <w:szCs w:val="23"/>
        </w:rPr>
      </w:pPr>
      <w:r>
        <w:rPr>
          <w:rFonts w:hint="eastAsia" w:ascii="宋体" w:hAnsi="宋体" w:cs="宋体"/>
          <w:b/>
          <w:bCs/>
          <w:color w:val="000000"/>
          <w:kern w:val="0"/>
          <w:sz w:val="23"/>
          <w:szCs w:val="23"/>
        </w:rPr>
        <w:t>附件十一：商务仓库存管理全托管服务补充协议</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一、服务内容</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商务仓库存管理全托管服务是乙方以中小件到仓、中小件仓储服务为基础，融合大数据应用、科学算法模型，为商家提供就近入仓、智能库存运营决策、仓配订单履约的一体化供应链服务。</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二、服务标准</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2.1 甲方委托乙方提供分仓服务时，需同时向乙方提供包含但不限于其促销信息、发货优先级配置信息、新品等业务信息。</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2.2 经由甲乙双方确认后，甲方可选择乙方的一个仓库或TC转运中心作为入口仓（货物交付地），甲方负责将货物运输至入口仓交付至乙方。</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2.3 甲方将货物交付乙方后，乙方负责将甲方货物进行全国布仓安排。</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2.4 乙方有权对甲方货物进行全国货物的安排调整，如甲方有新品、促销、业务变更等影响库存分布的信息，需提前3日同步至乙方所提供的邮箱。</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2.5 甲方因特殊情况需要从非入口仓交接货物的，须事先征得乙方同意且双方确定好交接仓库后方可，否则，因此造成的不能入仓、货物损失等均由甲方承担责任。</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2.6 甲方货物需退仓时，乙方不负责退货商品进行仓间调拨。</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三、服务价格</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双方确认智能商务仓服务按以下收费标准，报价含税：</w:t>
      </w:r>
    </w:p>
    <w:tbl>
      <w:tblPr>
        <w:tblStyle w:val="23"/>
        <w:tblW w:w="4500" w:type="pct"/>
        <w:tblInd w:w="0" w:type="dxa"/>
        <w:tblLayout w:type="autofit"/>
        <w:tblCellMar>
          <w:top w:w="0" w:type="dxa"/>
          <w:left w:w="0" w:type="dxa"/>
          <w:bottom w:w="0" w:type="dxa"/>
          <w:right w:w="0" w:type="dxa"/>
        </w:tblCellMar>
      </w:tblPr>
      <w:tblGrid>
        <w:gridCol w:w="2839"/>
        <w:gridCol w:w="3506"/>
        <w:gridCol w:w="1825"/>
      </w:tblGrid>
      <w:tr>
        <w:tblPrEx>
          <w:tblCellMar>
            <w:top w:w="0" w:type="dxa"/>
            <w:left w:w="0" w:type="dxa"/>
            <w:bottom w:w="0" w:type="dxa"/>
            <w:right w:w="0" w:type="dxa"/>
          </w:tblCellMar>
        </w:tblPrEx>
        <w:trPr>
          <w:trHeight w:val="150" w:hRule="atLeast"/>
        </w:trPr>
        <w:tc>
          <w:tcPr>
            <w:tcW w:w="2839"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tcPr>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体积单价</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（元/立方米）</w:t>
            </w:r>
          </w:p>
        </w:tc>
        <w:tc>
          <w:tcPr>
            <w:tcW w:w="3506" w:type="dxa"/>
            <w:tcBorders>
              <w:top w:val="single" w:color="auto" w:sz="8" w:space="0"/>
              <w:left w:val="nil"/>
              <w:bottom w:val="single" w:color="auto" w:sz="8" w:space="0"/>
              <w:right w:val="single" w:color="auto" w:sz="8" w:space="0"/>
            </w:tcBorders>
            <w:noWrap/>
            <w:tcMar>
              <w:top w:w="0" w:type="dxa"/>
              <w:left w:w="108" w:type="dxa"/>
              <w:bottom w:w="0" w:type="dxa"/>
              <w:right w:w="108" w:type="dxa"/>
            </w:tcMar>
          </w:tcPr>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重量单价</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（元/kg)</w:t>
            </w:r>
          </w:p>
        </w:tc>
        <w:tc>
          <w:tcPr>
            <w:tcW w:w="1825" w:type="dxa"/>
            <w:tcBorders>
              <w:top w:val="single" w:color="auto" w:sz="8" w:space="0"/>
              <w:left w:val="nil"/>
              <w:bottom w:val="single" w:color="auto" w:sz="8" w:space="0"/>
              <w:right w:val="single" w:color="auto" w:sz="8" w:space="0"/>
            </w:tcBorders>
            <w:noWrap/>
            <w:tcMar>
              <w:top w:w="0" w:type="dxa"/>
              <w:left w:w="108" w:type="dxa"/>
              <w:bottom w:w="0" w:type="dxa"/>
              <w:right w:w="108" w:type="dxa"/>
            </w:tcMar>
          </w:tcPr>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轻抛系数</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（立方厘米/kg）</w:t>
            </w:r>
          </w:p>
        </w:tc>
      </w:tr>
      <w:tr>
        <w:tblPrEx>
          <w:tblCellMar>
            <w:top w:w="0" w:type="dxa"/>
            <w:left w:w="0" w:type="dxa"/>
            <w:bottom w:w="0" w:type="dxa"/>
            <w:right w:w="0" w:type="dxa"/>
          </w:tblCellMar>
        </w:tblPrEx>
        <w:trPr>
          <w:trHeight w:val="120" w:hRule="atLeast"/>
        </w:trPr>
        <w:tc>
          <w:tcPr>
            <w:tcW w:w="2839" w:type="dxa"/>
            <w:tcBorders>
              <w:top w:val="nil"/>
              <w:left w:val="single" w:color="auto" w:sz="8" w:space="0"/>
              <w:bottom w:val="single" w:color="auto" w:sz="8" w:space="0"/>
              <w:right w:val="single" w:color="auto" w:sz="8" w:space="0"/>
            </w:tcBorders>
            <w:noWrap/>
            <w:tcMar>
              <w:top w:w="0" w:type="dxa"/>
              <w:left w:w="108" w:type="dxa"/>
              <w:bottom w:w="0" w:type="dxa"/>
              <w:right w:w="108" w:type="dxa"/>
            </w:tcMar>
          </w:tcPr>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208</w:t>
            </w:r>
          </w:p>
        </w:tc>
        <w:tc>
          <w:tcPr>
            <w:tcW w:w="3506" w:type="dxa"/>
            <w:tcBorders>
              <w:top w:val="nil"/>
              <w:left w:val="nil"/>
              <w:bottom w:val="single" w:color="auto" w:sz="8" w:space="0"/>
              <w:right w:val="single" w:color="auto" w:sz="8" w:space="0"/>
            </w:tcBorders>
            <w:noWrap/>
            <w:tcMar>
              <w:top w:w="0" w:type="dxa"/>
              <w:left w:w="108" w:type="dxa"/>
              <w:bottom w:w="0" w:type="dxa"/>
              <w:right w:w="108" w:type="dxa"/>
            </w:tcMar>
          </w:tcPr>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1.06</w:t>
            </w:r>
          </w:p>
        </w:tc>
        <w:tc>
          <w:tcPr>
            <w:tcW w:w="1825" w:type="dxa"/>
            <w:tcBorders>
              <w:top w:val="nil"/>
              <w:left w:val="nil"/>
              <w:bottom w:val="single" w:color="auto" w:sz="8" w:space="0"/>
              <w:right w:val="single" w:color="auto" w:sz="8" w:space="0"/>
            </w:tcBorders>
            <w:noWrap/>
            <w:tcMar>
              <w:top w:w="0" w:type="dxa"/>
              <w:left w:w="108" w:type="dxa"/>
              <w:bottom w:w="0" w:type="dxa"/>
              <w:right w:w="108" w:type="dxa"/>
            </w:tcMar>
          </w:tcPr>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3000</w:t>
            </w:r>
          </w:p>
        </w:tc>
      </w:tr>
    </w:tbl>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四、计费说明</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智能商务仓服务，按商家简码维度开启，按照乙方实收采购单体积、重量信息进行收费，税率为6%的仓储服务费。 </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4.1 采购单总体积（立方厘米） /总重量（kg）和轻抛系数比较；</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4.2 小于轻抛系数为重货，按重量单价计费; 采购单实际重量（kg）*重量单价（元/kg) ；</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4.3 大于等于轻抛系数为轻货，按体积单价计费；采购单实际体积（立方米）*体积单价（元/立方米）；</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4.4 甲方开启智能商务仓服务后，调拨出库费、调拨运费、调拨入库费不再收取。</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4.5 甲方开启智能商务仓服务后，到仓服务费按如下规则： </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4.5.1 如果，甲方下采购单时，选择【智能商务仓-仓越库】，则以京东仓作为入口仓，从甲方地址到京东仓使用到仓运输服务的，乙方仍按主合同约定收取到仓服务费；</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4.5.2 如果，甲方下采购单时，选择【智能商务仓-TC越库】，则以转运中心作为入口仓，从甲方地址到京东仓使用到仓运输服务的，不收取到仓服务费；</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4.6 其他费用标准仍执行主合同及其补充协议（如有）约定。</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五、服务提供及价格生效时间</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5.1 如甲方是续签智能商务仓服务的客户，服务价格从合同签订次日生效，甲方可从合同签订次日使用本服务。</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5.2 如甲方是新签智能商务仓服务的客户，服务价格从乙方书面通知时间开始生效，甲方可从通知时间开始使用本服务。</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六、其他约定</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rPr>
        <w:t>本协议与主合同约定不一致的，以本协议约定为准。本协议未涉及事项，均依据主合同的约定执行。</w:t>
      </w:r>
    </w:p>
    <w:p>
      <w:pPr>
        <w:widowControl/>
        <w:spacing w:before="100" w:beforeAutospacing="1" w:after="120"/>
        <w:jc w:val="left"/>
        <w:rPr>
          <w:rFonts w:ascii="宋体" w:hAnsi="宋体" w:cs="宋体"/>
          <w:color w:val="000000"/>
          <w:kern w:val="0"/>
          <w:sz w:val="23"/>
          <w:szCs w:val="23"/>
        </w:rPr>
      </w:pPr>
    </w:p>
    <w:p>
      <w:pPr>
        <w:widowControl/>
        <w:spacing w:before="100" w:beforeAutospacing="1" w:after="120"/>
        <w:jc w:val="left"/>
        <w:rPr>
          <w:rFonts w:ascii="宋体" w:hAnsi="宋体" w:cs="宋体"/>
          <w:color w:val="000000"/>
          <w:kern w:val="0"/>
          <w:sz w:val="23"/>
          <w:szCs w:val="23"/>
        </w:rPr>
      </w:pPr>
    </w:p>
    <w:p>
      <w:pPr>
        <w:widowControl/>
        <w:spacing w:before="100" w:beforeAutospacing="1" w:after="120"/>
        <w:jc w:val="left"/>
        <w:rPr>
          <w:rFonts w:ascii="宋体" w:hAnsi="宋体" w:cs="宋体"/>
          <w:kern w:val="0"/>
          <w:sz w:val="23"/>
          <w:szCs w:val="23"/>
        </w:rPr>
      </w:pPr>
      <w:r>
        <w:rPr>
          <w:rFonts w:hint="eastAsia" w:ascii="宋体" w:hAnsi="宋体" w:cs="宋体"/>
          <w:b/>
          <w:bCs/>
          <w:kern w:val="0"/>
          <w:sz w:val="23"/>
          <w:szCs w:val="23"/>
        </w:rPr>
        <w:t>附件十二：快运整车直达补充协议</w:t>
      </w:r>
    </w:p>
    <w:p>
      <w:pPr>
        <w:widowControl/>
        <w:spacing w:before="100" w:beforeAutospacing="1" w:after="120"/>
        <w:jc w:val="left"/>
        <w:rPr>
          <w:rFonts w:ascii="宋体" w:hAnsi="宋体" w:cs="宋体"/>
          <w:kern w:val="0"/>
          <w:sz w:val="23"/>
          <w:szCs w:val="23"/>
        </w:rPr>
      </w:pPr>
      <w:r>
        <w:rPr>
          <w:rFonts w:hint="eastAsia" w:ascii="宋体" w:hAnsi="宋体" w:cs="宋体"/>
          <w:kern w:val="0"/>
          <w:sz w:val="23"/>
          <w:szCs w:val="23"/>
        </w:rPr>
        <w:t>一、服务内容</w:t>
      </w:r>
    </w:p>
    <w:p>
      <w:pPr>
        <w:widowControl/>
        <w:spacing w:before="100" w:beforeAutospacing="1" w:after="120"/>
        <w:jc w:val="left"/>
        <w:rPr>
          <w:rFonts w:ascii="宋体" w:hAnsi="宋体" w:cs="宋体"/>
          <w:kern w:val="0"/>
          <w:sz w:val="23"/>
          <w:szCs w:val="23"/>
        </w:rPr>
      </w:pPr>
      <w:r>
        <w:rPr>
          <w:rFonts w:hint="eastAsia" w:ascii="宋体" w:hAnsi="宋体" w:cs="宋体"/>
          <w:kern w:val="0"/>
          <w:sz w:val="23"/>
          <w:szCs w:val="23"/>
        </w:rPr>
        <w:t>1.1乙方为甲方提供整车直达产品服务：按照客户需求的车型，乙方为甲方提供车辆，按客户运单地址为客户提供整车运输服务；</w:t>
      </w:r>
    </w:p>
    <w:p>
      <w:pPr>
        <w:widowControl/>
        <w:spacing w:before="100" w:beforeAutospacing="1" w:after="120"/>
        <w:jc w:val="left"/>
        <w:rPr>
          <w:rFonts w:ascii="宋体" w:hAnsi="宋体" w:cs="宋体"/>
          <w:kern w:val="0"/>
          <w:sz w:val="23"/>
          <w:szCs w:val="23"/>
        </w:rPr>
      </w:pPr>
      <w:r>
        <w:rPr>
          <w:rFonts w:hint="eastAsia" w:ascii="宋体" w:hAnsi="宋体" w:cs="宋体"/>
          <w:kern w:val="0"/>
          <w:sz w:val="23"/>
          <w:szCs w:val="23"/>
        </w:rPr>
        <w:t>1.2乙方为甲方提供大票直达产品服务：按照客户的发货需求，单票货物的重量在500KG以上，乙方可提供至甲方指定地点进行接货，送货至甲方指定地点的零担运输服务；</w:t>
      </w:r>
    </w:p>
    <w:p>
      <w:pPr>
        <w:widowControl/>
        <w:spacing w:before="100" w:beforeAutospacing="1" w:after="120"/>
        <w:jc w:val="left"/>
        <w:rPr>
          <w:rFonts w:ascii="宋体" w:hAnsi="宋体" w:cs="宋体"/>
          <w:kern w:val="0"/>
          <w:sz w:val="23"/>
          <w:szCs w:val="23"/>
        </w:rPr>
      </w:pPr>
      <w:r>
        <w:rPr>
          <w:rFonts w:hint="eastAsia" w:ascii="宋体" w:hAnsi="宋体" w:cs="宋体"/>
          <w:kern w:val="0"/>
          <w:sz w:val="23"/>
          <w:szCs w:val="23"/>
        </w:rPr>
        <w:t>二、费用及结算方式</w:t>
      </w:r>
    </w:p>
    <w:p>
      <w:pPr>
        <w:widowControl/>
        <w:spacing w:before="100" w:beforeAutospacing="1" w:after="120"/>
        <w:jc w:val="left"/>
        <w:rPr>
          <w:rFonts w:ascii="宋体" w:hAnsi="宋体" w:cs="宋体"/>
          <w:kern w:val="0"/>
          <w:sz w:val="23"/>
          <w:szCs w:val="23"/>
        </w:rPr>
      </w:pPr>
      <w:r>
        <w:rPr>
          <w:rFonts w:hint="eastAsia" w:ascii="宋体" w:hAnsi="宋体" w:cs="宋体"/>
          <w:kern w:val="0"/>
          <w:sz w:val="23"/>
          <w:szCs w:val="23"/>
        </w:rPr>
        <w:t>2.1 甲方同意按照主合同约定的结算方式，使用并结算当期费用；</w:t>
      </w:r>
    </w:p>
    <w:p>
      <w:pPr>
        <w:widowControl/>
        <w:spacing w:before="100" w:beforeAutospacing="1" w:after="120"/>
        <w:jc w:val="left"/>
        <w:rPr>
          <w:rFonts w:ascii="宋体" w:hAnsi="宋体" w:cs="宋体"/>
          <w:kern w:val="0"/>
          <w:sz w:val="23"/>
          <w:szCs w:val="23"/>
        </w:rPr>
      </w:pPr>
      <w:r>
        <w:rPr>
          <w:rFonts w:hint="eastAsia" w:ascii="宋体" w:hAnsi="宋体" w:cs="宋体"/>
          <w:kern w:val="0"/>
          <w:sz w:val="23"/>
          <w:szCs w:val="23"/>
        </w:rPr>
        <w:t>2.2整车直达产品临时询价线路收费标准，可采用整车询价流程确认结算价格，即甲方在乙方商家工作台（wl.jdl.com）下整车询价订单，注明需求时间，车型，始发地，目的地等，乙方根据甲方的需求提供对应的报价，甲方在乙方商家工作台（wl.jdl.com）确认报价，以该确认报价为准进行结算，且甲方同意结算数据以乙方系统记录为准；</w:t>
      </w:r>
    </w:p>
    <w:p>
      <w:pPr>
        <w:widowControl/>
        <w:spacing w:before="100" w:beforeAutospacing="1" w:after="120"/>
        <w:jc w:val="left"/>
        <w:rPr>
          <w:rFonts w:ascii="宋体" w:hAnsi="宋体" w:cs="宋体"/>
          <w:kern w:val="0"/>
          <w:sz w:val="23"/>
          <w:szCs w:val="23"/>
        </w:rPr>
      </w:pPr>
      <w:r>
        <w:rPr>
          <w:rFonts w:hint="eastAsia" w:ascii="宋体" w:hAnsi="宋体" w:cs="宋体"/>
          <w:kern w:val="0"/>
          <w:sz w:val="23"/>
          <w:szCs w:val="23"/>
        </w:rPr>
        <w:t>2.3 整车直达产品固定线路收费标准，按照整车直达报价单进行结算费用；</w:t>
      </w:r>
    </w:p>
    <w:p>
      <w:pPr>
        <w:widowControl/>
        <w:spacing w:before="100" w:beforeAutospacing="1" w:after="120"/>
        <w:jc w:val="left"/>
        <w:rPr>
          <w:rFonts w:ascii="宋体" w:hAnsi="宋体" w:cs="宋体"/>
          <w:kern w:val="0"/>
          <w:sz w:val="23"/>
          <w:szCs w:val="23"/>
        </w:rPr>
      </w:pPr>
      <w:r>
        <w:rPr>
          <w:rFonts w:hint="eastAsia" w:ascii="宋体" w:hAnsi="宋体" w:cs="宋体"/>
          <w:kern w:val="0"/>
          <w:sz w:val="23"/>
          <w:szCs w:val="23"/>
        </w:rPr>
        <w:t>2.4大票直达产品，乙方在提货时，当场确认货物体积及总件数，重量以当场过磅为准，如甲方无相应设备进行称重量方的，以乙方反馈的体积及重量为准，按照大票直达报价单进行结算费用； </w:t>
      </w:r>
    </w:p>
    <w:p>
      <w:pPr>
        <w:widowControl/>
        <w:spacing w:before="100" w:beforeAutospacing="1" w:after="120"/>
        <w:jc w:val="left"/>
        <w:rPr>
          <w:rFonts w:ascii="宋体" w:hAnsi="宋体" w:cs="宋体"/>
          <w:kern w:val="0"/>
          <w:sz w:val="23"/>
          <w:szCs w:val="23"/>
        </w:rPr>
      </w:pPr>
      <w:r>
        <w:rPr>
          <w:rFonts w:hint="eastAsia" w:ascii="宋体" w:hAnsi="宋体" w:cs="宋体"/>
          <w:kern w:val="0"/>
          <w:sz w:val="23"/>
          <w:szCs w:val="23"/>
        </w:rPr>
        <w:t>三、其他约定</w:t>
      </w:r>
    </w:p>
    <w:p>
      <w:pPr>
        <w:widowControl/>
        <w:spacing w:before="100" w:beforeAutospacing="1" w:after="120"/>
        <w:jc w:val="left"/>
        <w:rPr>
          <w:rFonts w:ascii="宋体" w:hAnsi="宋体" w:cs="宋体"/>
          <w:kern w:val="0"/>
          <w:sz w:val="23"/>
          <w:szCs w:val="23"/>
        </w:rPr>
      </w:pPr>
      <w:r>
        <w:rPr>
          <w:rFonts w:hint="eastAsia" w:ascii="宋体" w:hAnsi="宋体" w:cs="宋体"/>
          <w:kern w:val="0"/>
          <w:sz w:val="23"/>
          <w:szCs w:val="23"/>
        </w:rPr>
        <w:t>本协议与主合同不一致的，以本协议为准，其他条款遵照主合同执行。</w:t>
      </w:r>
    </w:p>
    <w:p>
      <w:pPr>
        <w:widowControl/>
        <w:spacing w:before="100" w:beforeAutospacing="1" w:after="100" w:afterAutospacing="1"/>
        <w:jc w:val="left"/>
        <w:rPr>
          <w:rFonts w:ascii="宋体" w:hAnsi="宋体" w:cs="宋体"/>
          <w:kern w:val="0"/>
          <w:sz w:val="23"/>
          <w:szCs w:val="23"/>
        </w:rPr>
      </w:pPr>
    </w:p>
    <w:p>
      <w:pPr>
        <w:rPr>
          <w:rFonts w:ascii="宋体" w:hAnsi="宋体"/>
          <w:sz w:val="23"/>
          <w:szCs w:val="23"/>
        </w:rPr>
      </w:pPr>
    </w:p>
    <w:p>
      <w:pPr>
        <w:widowControl/>
        <w:spacing w:before="100" w:beforeAutospacing="1" w:after="100" w:afterAutospacing="1"/>
        <w:jc w:val="left"/>
        <w:rPr>
          <w:rFonts w:ascii="宋体" w:hAnsi="宋体" w:cs="宋体"/>
          <w:b/>
          <w:color w:val="000000"/>
          <w:kern w:val="0"/>
          <w:sz w:val="23"/>
          <w:szCs w:val="23"/>
        </w:rPr>
      </w:pPr>
      <w:r>
        <w:rPr>
          <w:rFonts w:hint="eastAsia" w:ascii="宋体" w:hAnsi="宋体" w:cs="宋体"/>
          <w:b/>
          <w:color w:val="000000"/>
          <w:kern w:val="0"/>
          <w:sz w:val="23"/>
          <w:szCs w:val="23"/>
        </w:rPr>
        <w:t>附件十三：医药委托配送质量保证协议</w:t>
      </w:r>
    </w:p>
    <w:p>
      <w:pPr>
        <w:widowControl/>
        <w:spacing w:before="100" w:beforeAutospacing="1" w:after="120"/>
        <w:ind w:firstLine="44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为了加强委托配送商品管理，切实保证商品质量，维护消费者和双方的利益，依据《药品管理法》、《药品经营质量管理规范》、《医疗器械监督管理条例》、《医疗器械经营监督管理办法》、《医疗器械经营质量管理规范》、《产品质量法》、《消费者权益保护法》等法律法规的要求，甲乙双方本着平等、合作的原则签订本质量保证协议。</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1.甲方应向乙方提供加盖企业公章的《营业执照》、《药品经营许可证》或《医疗器械经营许可证》或《第二类医疗器械经营备案凭证》等合法证照的复印件。</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2.乙方应向甲方提供加盖企业公章的《营业执照》等合法证照的复印件。</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3.甲乙双方应对其提供的资料的真实性、有效性负责。当提供的资质资料等有变更时应及时向对方提供最新资料。</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4.甲方应保证所提供的商品质量符合法定质量标准要求。</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5.甲方应保证所提供的商品包装、标签、说明书符合有关规定。</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6.甲方应对送达客户的合法性负责。</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7.甲方应当保证商品交付乙方前，应属于国家法律法规允许流通且质量合格的商品。甲方交付乙方前发生的质量问题，由甲方承担。交付乙方后发生的质量问题如确因乙方原因导致的，由乙方负责。</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8.乙方在交接过程中如发现甲方委托的商品有以下质量问题，应停止接收并及时反馈甲方处理：</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8.1包装出现破损、污染、封口不牢、衬垫不实、封条损坏等问题；</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8.2包装内有异常响动或者液体渗漏；</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8.3标签脱落、字迹模糊不清或者标识内容与实物不符；</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8.4已超过有效期；</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8.5其他有必要处理的异常情况。</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9.乙方在配送过程中应该按照《药品经营质量管理规范》或《医疗器械经营质量管理规范》等对应商品配送管理要求完成委托配送商品的保管和配送，乙方对此过程中由乙方原因导致的的商品安全和质量问题负责。</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10.乙方应按照商品包装、标签、说明书的有关要求进行配送。对于冷藏、冷冻商品配送，乙方应开展业务前和定期（一般每年）接受甲方的有关配送质量保证能力和风险管理能力的审计，乙方通过甲方审计后按照审计要求开展承运工作，接受甲方监督。</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11.乙方应在甲方要求的时限内完成配送。</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12.乙方应按照甲方的要求返回客户签收的配送回单。甲方可根据配送回单的质量考核乙方配送质量。</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13.如因甲方委托配送假、劣药或质量不合格商品导致的所有责任由甲方自行承担。</w:t>
      </w:r>
    </w:p>
    <w:p>
      <w:pPr>
        <w:widowControl/>
        <w:spacing w:before="100" w:beforeAutospacing="1" w:after="120"/>
        <w:jc w:val="left"/>
        <w:rPr>
          <w:rFonts w:ascii="宋体" w:hAnsi="宋体" w:cs="宋体"/>
          <w:color w:val="000000"/>
          <w:kern w:val="0"/>
          <w:sz w:val="23"/>
          <w:szCs w:val="23"/>
          <w:shd w:val="clear" w:color="auto" w:fill="FFFFFF"/>
        </w:rPr>
      </w:pPr>
      <w:r>
        <w:rPr>
          <w:rFonts w:hint="eastAsia" w:ascii="宋体" w:hAnsi="宋体" w:cs="宋体"/>
          <w:color w:val="000000"/>
          <w:kern w:val="0"/>
          <w:sz w:val="23"/>
          <w:szCs w:val="23"/>
          <w:shd w:val="clear" w:color="auto" w:fill="FFFFFF"/>
        </w:rPr>
        <w:t>14.甲乙双方有义务及时向对方反映商品质量信息，提供帮助，提出意见与建议。</w:t>
      </w:r>
    </w:p>
    <w:p>
      <w:pPr>
        <w:snapToGrid w:val="0"/>
        <w:spacing w:after="156" w:afterLines="50" w:line="300" w:lineRule="exact"/>
        <w:ind w:firstLine="440" w:firstLineChars="200"/>
        <w:jc w:val="left"/>
        <w:rPr>
          <w:rFonts w:asciiTheme="minorEastAsia" w:hAnsiTheme="minorEastAsia" w:eastAsiaTheme="minorEastAsia" w:cstheme="minorEastAsia"/>
          <w:bCs/>
          <w:color w:val="000000" w:themeColor="text1"/>
          <w:sz w:val="22"/>
          <w14:textFill>
            <w14:solidFill>
              <w14:schemeClr w14:val="tx1"/>
            </w14:solidFill>
          </w14:textFill>
        </w:rPr>
      </w:pPr>
      <w:commentRangeStart w:id="44"/>
      <w:r>
        <w:rPr>
          <w:rFonts w:hint="eastAsia" w:asciiTheme="minorEastAsia" w:hAnsiTheme="minorEastAsia" w:eastAsiaTheme="minorEastAsia" w:cstheme="minorEastAsia"/>
          <w:bCs/>
          <w:color w:val="000000" w:themeColor="text1"/>
          <w:sz w:val="22"/>
          <w14:textFill>
            <w14:solidFill>
              <w14:schemeClr w14:val="tx1"/>
            </w14:solidFill>
          </w14:textFill>
        </w:rPr>
        <w:t>15.投诉判定及赔付时效说明</w:t>
      </w:r>
      <w:commentRangeEnd w:id="44"/>
      <w:r>
        <w:rPr>
          <w:rStyle w:val="30"/>
          <w:lang w:val="zh-CN"/>
        </w:rPr>
        <w:commentReference w:id="44"/>
      </w:r>
    </w:p>
    <w:p>
      <w:pPr>
        <w:snapToGrid w:val="0"/>
        <w:spacing w:after="156" w:afterLines="50" w:line="300" w:lineRule="exact"/>
        <w:ind w:firstLine="440" w:firstLineChars="200"/>
        <w:jc w:val="left"/>
        <w:rPr>
          <w:rFonts w:asciiTheme="minorEastAsia" w:hAnsiTheme="minorEastAsia" w:eastAsiaTheme="minorEastAsia" w:cstheme="minorEastAsia"/>
          <w:bCs/>
          <w:color w:val="000000" w:themeColor="text1"/>
          <w:sz w:val="22"/>
          <w14:textFill>
            <w14:solidFill>
              <w14:schemeClr w14:val="tx1"/>
            </w14:solidFill>
          </w14:textFill>
        </w:rPr>
      </w:pPr>
      <w:r>
        <w:rPr>
          <w:rFonts w:hint="eastAsia" w:asciiTheme="minorEastAsia" w:hAnsiTheme="minorEastAsia" w:eastAsiaTheme="minorEastAsia" w:cstheme="minorEastAsia"/>
          <w:bCs/>
          <w:color w:val="000000" w:themeColor="text1"/>
          <w:sz w:val="22"/>
          <w14:textFill>
            <w14:solidFill>
              <w14:schemeClr w14:val="tx1"/>
            </w14:solidFill>
          </w14:textFill>
        </w:rPr>
        <w:t>15.1为保证投诉的及时、有效处理，异常产生后甲方须在物流订单签收后5个工作日内发起在对应的物流订单类型下的投诉；如若未在有效时间内，按照正确的物流订单异常类型反馈投诉，则乙方有权利不予受理；</w:t>
      </w:r>
    </w:p>
    <w:p>
      <w:pPr>
        <w:snapToGrid w:val="0"/>
        <w:spacing w:after="156" w:afterLines="50" w:line="300" w:lineRule="exact"/>
        <w:ind w:firstLine="440" w:firstLineChars="200"/>
        <w:jc w:val="left"/>
        <w:rPr>
          <w:rFonts w:asciiTheme="minorEastAsia" w:hAnsiTheme="minorEastAsia" w:eastAsiaTheme="minorEastAsia" w:cstheme="minorEastAsia"/>
          <w:bCs/>
          <w:color w:val="000000" w:themeColor="text1"/>
          <w:sz w:val="22"/>
          <w14:textFill>
            <w14:solidFill>
              <w14:schemeClr w14:val="tx1"/>
            </w14:solidFill>
          </w14:textFill>
        </w:rPr>
      </w:pPr>
      <w:r>
        <w:rPr>
          <w:rFonts w:hint="eastAsia" w:asciiTheme="minorEastAsia" w:hAnsiTheme="minorEastAsia" w:eastAsiaTheme="minorEastAsia" w:cstheme="minorEastAsia"/>
          <w:bCs/>
          <w:color w:val="000000" w:themeColor="text1"/>
          <w:sz w:val="22"/>
          <w14:textFill>
            <w14:solidFill>
              <w14:schemeClr w14:val="tx1"/>
            </w14:solidFill>
          </w14:textFill>
        </w:rPr>
        <w:t>15.2甲方在提交投诉时，需同时提供有效的举证凭证，否则乙方有权拒绝承认承运过失责任成立；</w:t>
      </w:r>
    </w:p>
    <w:p>
      <w:pPr>
        <w:snapToGrid w:val="0"/>
        <w:spacing w:after="156" w:afterLines="50" w:line="300" w:lineRule="exact"/>
        <w:ind w:firstLine="440" w:firstLineChars="200"/>
        <w:jc w:val="left"/>
        <w:rPr>
          <w:rFonts w:asciiTheme="minorEastAsia" w:hAnsiTheme="minorEastAsia" w:eastAsiaTheme="minorEastAsia" w:cstheme="minorEastAsia"/>
          <w:bCs/>
          <w:color w:val="000000" w:themeColor="text1"/>
          <w:sz w:val="22"/>
          <w14:textFill>
            <w14:solidFill>
              <w14:schemeClr w14:val="tx1"/>
            </w14:solidFill>
          </w14:textFill>
        </w:rPr>
      </w:pPr>
      <w:r>
        <w:rPr>
          <w:rFonts w:hint="eastAsia" w:asciiTheme="minorEastAsia" w:hAnsiTheme="minorEastAsia" w:eastAsiaTheme="minorEastAsia" w:cstheme="minorEastAsia"/>
          <w:bCs/>
          <w:color w:val="000000" w:themeColor="text1"/>
          <w:sz w:val="22"/>
          <w14:textFill>
            <w14:solidFill>
              <w14:schemeClr w14:val="tx1"/>
            </w14:solidFill>
          </w14:textFill>
        </w:rPr>
        <w:t>15.3责任方免责说明</w:t>
      </w:r>
    </w:p>
    <w:p>
      <w:pPr>
        <w:snapToGrid w:val="0"/>
        <w:spacing w:after="156" w:afterLines="50" w:line="300" w:lineRule="exact"/>
        <w:ind w:firstLine="440" w:firstLineChars="200"/>
        <w:jc w:val="left"/>
        <w:rPr>
          <w:rFonts w:asciiTheme="minorEastAsia" w:hAnsiTheme="minorEastAsia" w:eastAsiaTheme="minorEastAsia" w:cstheme="minorEastAsia"/>
          <w:bCs/>
          <w:color w:val="000000" w:themeColor="text1"/>
          <w:sz w:val="22"/>
          <w14:textFill>
            <w14:solidFill>
              <w14:schemeClr w14:val="tx1"/>
            </w14:solidFill>
          </w14:textFill>
        </w:rPr>
      </w:pPr>
      <w:r>
        <w:rPr>
          <w:rFonts w:hint="eastAsia" w:asciiTheme="minorEastAsia" w:hAnsiTheme="minorEastAsia" w:eastAsiaTheme="minorEastAsia" w:cstheme="minorEastAsia"/>
          <w:bCs/>
          <w:color w:val="000000" w:themeColor="text1"/>
          <w:sz w:val="22"/>
          <w14:textFill>
            <w14:solidFill>
              <w14:schemeClr w14:val="tx1"/>
            </w14:solidFill>
          </w14:textFill>
        </w:rPr>
        <w:t>(1) 甲方未在约定的时间内发起投诉，造成异常情况无法有效核实，乙方不承担任何赔偿责任；</w:t>
      </w:r>
    </w:p>
    <w:p>
      <w:pPr>
        <w:widowControl/>
        <w:spacing w:before="100" w:beforeAutospacing="1" w:after="120"/>
        <w:jc w:val="left"/>
        <w:rPr>
          <w:rFonts w:ascii="宋体" w:hAnsi="宋体" w:cs="宋体"/>
          <w:color w:val="000000"/>
          <w:kern w:val="0"/>
          <w:sz w:val="23"/>
          <w:szCs w:val="23"/>
        </w:rPr>
      </w:pPr>
      <w:r>
        <w:rPr>
          <w:rFonts w:hint="eastAsia" w:asciiTheme="minorEastAsia" w:hAnsiTheme="minorEastAsia" w:eastAsiaTheme="minorEastAsia" w:cstheme="minorEastAsia"/>
          <w:bCs/>
          <w:color w:val="000000" w:themeColor="text1"/>
          <w:sz w:val="22"/>
          <w14:textFill>
            <w14:solidFill>
              <w14:schemeClr w14:val="tx1"/>
            </w14:solidFill>
          </w14:textFill>
        </w:rPr>
        <w:t>(2) 甲方如出现虚假举证（包括但不限于引导消费者恶意虚假举证、非依据事实恶意举证）等不诚信行为，则自乙方接到甲方虚假举证之日起15个自然日内就甲方在该期间创建的物流订单中，与甲方虚假举证同类的投诉，乙方将不予赔付。</w:t>
      </w:r>
    </w:p>
    <w:p>
      <w:pPr>
        <w:widowControl/>
        <w:spacing w:before="100" w:beforeAutospacing="1" w:after="120"/>
        <w:jc w:val="left"/>
        <w:rPr>
          <w:rFonts w:ascii="宋体" w:hAnsi="宋体" w:cs="宋体"/>
          <w:color w:val="000000"/>
          <w:kern w:val="0"/>
          <w:sz w:val="23"/>
          <w:szCs w:val="23"/>
        </w:rPr>
      </w:pPr>
      <w:r>
        <w:rPr>
          <w:rFonts w:hint="eastAsia" w:ascii="宋体" w:hAnsi="宋体" w:cs="宋体"/>
          <w:color w:val="000000"/>
          <w:kern w:val="0"/>
          <w:sz w:val="23"/>
          <w:szCs w:val="23"/>
          <w:shd w:val="clear" w:color="auto" w:fill="FFFFFF"/>
        </w:rPr>
        <w:t>1</w:t>
      </w:r>
      <w:r>
        <w:rPr>
          <w:rFonts w:ascii="宋体" w:hAnsi="宋体" w:cs="宋体"/>
          <w:color w:val="000000"/>
          <w:kern w:val="0"/>
          <w:sz w:val="23"/>
          <w:szCs w:val="23"/>
          <w:shd w:val="clear" w:color="auto" w:fill="FFFFFF"/>
        </w:rPr>
        <w:t>6</w:t>
      </w:r>
      <w:r>
        <w:rPr>
          <w:rFonts w:hint="eastAsia" w:ascii="宋体" w:hAnsi="宋体" w:cs="宋体"/>
          <w:color w:val="000000"/>
          <w:kern w:val="0"/>
          <w:sz w:val="23"/>
          <w:szCs w:val="23"/>
          <w:shd w:val="clear" w:color="auto" w:fill="FFFFFF"/>
        </w:rPr>
        <w:t>.甲、乙双方未如双方发生争议，由甲乙双方协商解决；协商不成，通过法律程序解决。</w:t>
      </w:r>
    </w:p>
    <w:p>
      <w:pPr>
        <w:widowControl/>
        <w:spacing w:before="100" w:beforeAutospacing="1" w:after="100" w:afterAutospacing="1"/>
        <w:jc w:val="left"/>
        <w:rPr>
          <w:rFonts w:ascii="宋体" w:hAnsi="宋体" w:cs="宋体"/>
          <w:color w:val="000000"/>
          <w:kern w:val="0"/>
          <w:sz w:val="23"/>
          <w:szCs w:val="23"/>
          <w:shd w:val="clear" w:color="auto" w:fill="FFFFFF"/>
        </w:rPr>
      </w:pPr>
      <w:r>
        <w:rPr>
          <w:rFonts w:hint="eastAsia" w:ascii="宋体" w:hAnsi="宋体" w:cs="宋体"/>
          <w:color w:val="000000"/>
          <w:kern w:val="0"/>
          <w:sz w:val="23"/>
          <w:szCs w:val="23"/>
          <w:shd w:val="clear" w:color="auto" w:fill="FFFFFF"/>
        </w:rPr>
        <w:t>1</w:t>
      </w:r>
      <w:r>
        <w:rPr>
          <w:rFonts w:ascii="宋体" w:hAnsi="宋体" w:cs="宋体"/>
          <w:color w:val="000000"/>
          <w:kern w:val="0"/>
          <w:sz w:val="23"/>
          <w:szCs w:val="23"/>
          <w:shd w:val="clear" w:color="auto" w:fill="FFFFFF"/>
        </w:rPr>
        <w:t>7</w:t>
      </w:r>
      <w:r>
        <w:rPr>
          <w:rFonts w:hint="eastAsia" w:ascii="宋体" w:hAnsi="宋体" w:cs="宋体"/>
          <w:color w:val="000000"/>
          <w:kern w:val="0"/>
          <w:sz w:val="23"/>
          <w:szCs w:val="23"/>
          <w:shd w:val="clear" w:color="auto" w:fill="FFFFFF"/>
        </w:rPr>
        <w:t>.本协议所涉及的条款，与现行法律相悖的，以现行法规为准。</w:t>
      </w:r>
    </w:p>
    <w:p>
      <w:pPr>
        <w:widowControl/>
        <w:spacing w:before="100" w:beforeAutospacing="1" w:after="100" w:afterAutospacing="1"/>
        <w:jc w:val="left"/>
        <w:rPr>
          <w:rFonts w:ascii="宋体" w:hAnsi="宋体" w:cs="宋体"/>
          <w:color w:val="000000"/>
          <w:kern w:val="0"/>
          <w:sz w:val="23"/>
          <w:szCs w:val="23"/>
          <w:shd w:val="clear" w:color="auto" w:fill="FFFFFF"/>
        </w:rPr>
      </w:pPr>
    </w:p>
    <w:p>
      <w:pPr>
        <w:widowControl/>
        <w:spacing w:before="100" w:beforeAutospacing="1" w:after="100" w:afterAutospacing="1"/>
        <w:jc w:val="left"/>
        <w:rPr>
          <w:rFonts w:ascii="宋体" w:hAnsi="宋体" w:cs="宋体"/>
          <w:color w:val="000000"/>
          <w:kern w:val="0"/>
          <w:sz w:val="23"/>
          <w:szCs w:val="23"/>
          <w:shd w:val="clear" w:color="auto" w:fill="FFFFFF"/>
        </w:rPr>
      </w:pPr>
    </w:p>
    <w:p>
      <w:pPr>
        <w:widowControl/>
        <w:spacing w:before="100" w:beforeAutospacing="1" w:after="100" w:afterAutospacing="1"/>
        <w:jc w:val="left"/>
        <w:rPr>
          <w:rFonts w:ascii="宋体" w:hAnsi="宋体" w:cs="宋体"/>
          <w:color w:val="000000"/>
          <w:kern w:val="0"/>
          <w:sz w:val="23"/>
          <w:szCs w:val="23"/>
        </w:rPr>
      </w:pPr>
    </w:p>
    <w:p>
      <w:pPr>
        <w:widowControl/>
        <w:spacing w:before="100" w:beforeAutospacing="1" w:after="100" w:afterAutospacing="1"/>
        <w:ind w:left="510" w:hanging="510"/>
        <w:jc w:val="left"/>
        <w:rPr>
          <w:rFonts w:ascii="宋体" w:hAnsi="宋体" w:cs="宋体"/>
          <w:b/>
          <w:color w:val="000000"/>
          <w:kern w:val="0"/>
          <w:sz w:val="23"/>
          <w:szCs w:val="23"/>
        </w:rPr>
      </w:pPr>
      <w:r>
        <w:rPr>
          <w:rFonts w:hint="eastAsia" w:ascii="宋体" w:hAnsi="宋体" w:cs="宋体"/>
          <w:b/>
          <w:color w:val="000000"/>
          <w:kern w:val="0"/>
          <w:sz w:val="23"/>
          <w:szCs w:val="23"/>
        </w:rPr>
        <w:t>附件十四：快运改址服务补充协议</w:t>
      </w:r>
    </w:p>
    <w:p>
      <w:pPr>
        <w:widowControl/>
        <w:spacing w:before="100" w:beforeAutospacing="1" w:after="100" w:afterAutospacing="1"/>
        <w:ind w:left="510" w:hanging="510"/>
        <w:jc w:val="left"/>
        <w:rPr>
          <w:rFonts w:ascii="宋体" w:hAnsi="宋体" w:cs="宋体"/>
          <w:color w:val="000000"/>
          <w:kern w:val="0"/>
          <w:sz w:val="23"/>
          <w:szCs w:val="23"/>
        </w:rPr>
      </w:pPr>
      <w:r>
        <w:rPr>
          <w:rFonts w:hint="eastAsia" w:ascii="宋体" w:hAnsi="宋体" w:cs="宋体"/>
          <w:color w:val="000000"/>
          <w:kern w:val="0"/>
          <w:sz w:val="23"/>
          <w:szCs w:val="23"/>
        </w:rPr>
        <w:t>一、</w:t>
      </w:r>
      <w:r>
        <w:rPr>
          <w:rFonts w:ascii="宋体" w:hAnsi="宋体"/>
          <w:color w:val="000000"/>
          <w:kern w:val="0"/>
          <w:sz w:val="23"/>
          <w:szCs w:val="23"/>
        </w:rPr>
        <w:t>   </w:t>
      </w:r>
      <w:r>
        <w:rPr>
          <w:rFonts w:hint="eastAsia" w:ascii="宋体" w:hAnsi="宋体" w:cs="宋体"/>
          <w:color w:val="000000"/>
          <w:kern w:val="0"/>
          <w:sz w:val="23"/>
          <w:szCs w:val="23"/>
        </w:rPr>
        <w:t>【快运改址】产品说明</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1、定义：改址服务是指京东物流将快件由运单收件地址转寄到收寄件人另行指定的收件地址的增值服务。</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2、服务规则：在货物揽收完成后，商家如有改址诉求，可通过京东物流商家端发起改址，根据预测拦截地以及改址场景不同计费会发生变化，商家在认可京东物流改址规则的前提下可发起改址。</w:t>
      </w:r>
    </w:p>
    <w:p>
      <w:pPr>
        <w:widowControl/>
        <w:spacing w:before="100" w:beforeAutospacing="1" w:after="100" w:afterAutospacing="1"/>
        <w:ind w:left="510" w:hanging="510"/>
        <w:jc w:val="left"/>
        <w:rPr>
          <w:rFonts w:ascii="宋体" w:hAnsi="宋体" w:cs="宋体"/>
          <w:color w:val="000000"/>
          <w:kern w:val="0"/>
          <w:sz w:val="23"/>
          <w:szCs w:val="23"/>
        </w:rPr>
      </w:pPr>
      <w:r>
        <w:rPr>
          <w:rFonts w:hint="eastAsia" w:ascii="宋体" w:hAnsi="宋体" w:cs="宋体"/>
          <w:color w:val="000000"/>
          <w:kern w:val="0"/>
          <w:sz w:val="23"/>
          <w:szCs w:val="23"/>
        </w:rPr>
        <w:t>二、</w:t>
      </w:r>
      <w:r>
        <w:rPr>
          <w:rFonts w:ascii="宋体" w:hAnsi="宋体"/>
          <w:color w:val="000000"/>
          <w:kern w:val="0"/>
          <w:sz w:val="23"/>
          <w:szCs w:val="23"/>
        </w:rPr>
        <w:t>   </w:t>
      </w:r>
      <w:r>
        <w:rPr>
          <w:rFonts w:hint="eastAsia" w:ascii="宋体" w:hAnsi="宋体" w:cs="宋体"/>
          <w:color w:val="000000"/>
          <w:kern w:val="0"/>
          <w:sz w:val="23"/>
          <w:szCs w:val="23"/>
        </w:rPr>
        <w:t>计费规则及不适用场景说明</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1、计费规则：快运改址根据预测拦截地，在修改目的地在同城同站、同城跨站、跨城等几个场景下制定计费标准，其中会涉及改址服务费、改址运费等费用项目。</w:t>
      </w:r>
    </w:p>
    <w:tbl>
      <w:tblPr>
        <w:tblStyle w:val="23"/>
        <w:tblW w:w="8254" w:type="dxa"/>
        <w:tblInd w:w="0" w:type="dxa"/>
        <w:tblLayout w:type="autofit"/>
        <w:tblCellMar>
          <w:top w:w="0" w:type="dxa"/>
          <w:left w:w="0" w:type="dxa"/>
          <w:bottom w:w="0" w:type="dxa"/>
          <w:right w:w="0" w:type="dxa"/>
        </w:tblCellMar>
      </w:tblPr>
      <w:tblGrid>
        <w:gridCol w:w="1682"/>
        <w:gridCol w:w="1458"/>
        <w:gridCol w:w="2456"/>
        <w:gridCol w:w="2633"/>
        <w:gridCol w:w="25"/>
      </w:tblGrid>
      <w:tr>
        <w:tblPrEx>
          <w:tblCellMar>
            <w:top w:w="0" w:type="dxa"/>
            <w:left w:w="0" w:type="dxa"/>
            <w:bottom w:w="0" w:type="dxa"/>
            <w:right w:w="0" w:type="dxa"/>
          </w:tblCellMar>
        </w:tblPrEx>
        <w:trPr>
          <w:trHeight w:val="589" w:hRule="atLeast"/>
        </w:trPr>
        <w:tc>
          <w:tcPr>
            <w:tcW w:w="1682" w:type="dxa"/>
            <w:tcBorders>
              <w:top w:val="single" w:color="A6A6A6" w:sz="12" w:space="0"/>
              <w:left w:val="single" w:color="A6A6A6" w:sz="12" w:space="0"/>
              <w:bottom w:val="single" w:color="A6A6A6" w:sz="8" w:space="0"/>
              <w:right w:val="single" w:color="A6A6A6" w:sz="8" w:space="0"/>
            </w:tcBorders>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23"/>
              </w:rPr>
            </w:pPr>
            <w:r>
              <w:rPr>
                <w:rFonts w:hint="eastAsia" w:ascii="宋体" w:hAnsi="宋体" w:cs="宋体"/>
                <w:color w:val="000000"/>
                <w:kern w:val="0"/>
                <w:sz w:val="18"/>
                <w:szCs w:val="23"/>
              </w:rPr>
              <w:t>预测拦截地</w:t>
            </w:r>
          </w:p>
        </w:tc>
        <w:tc>
          <w:tcPr>
            <w:tcW w:w="1458" w:type="dxa"/>
            <w:tcBorders>
              <w:top w:val="single" w:color="A6A6A6" w:sz="12" w:space="0"/>
              <w:left w:val="nil"/>
              <w:bottom w:val="single" w:color="A6A6A6" w:sz="8" w:space="0"/>
              <w:right w:val="single" w:color="A6A6A6" w:sz="8" w:space="0"/>
            </w:tcBorders>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23"/>
              </w:rPr>
            </w:pPr>
            <w:r>
              <w:rPr>
                <w:rFonts w:hint="eastAsia" w:ascii="宋体" w:hAnsi="宋体" w:cs="宋体"/>
                <w:color w:val="000000"/>
                <w:kern w:val="0"/>
                <w:sz w:val="18"/>
                <w:szCs w:val="23"/>
              </w:rPr>
              <w:t>同城同站</w:t>
            </w:r>
          </w:p>
        </w:tc>
        <w:tc>
          <w:tcPr>
            <w:tcW w:w="2456" w:type="dxa"/>
            <w:tcBorders>
              <w:top w:val="single" w:color="A6A6A6" w:sz="12" w:space="0"/>
              <w:left w:val="nil"/>
              <w:bottom w:val="single" w:color="A6A6A6" w:sz="8" w:space="0"/>
              <w:right w:val="single" w:color="A6A6A6" w:sz="8" w:space="0"/>
            </w:tcBorders>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23"/>
              </w:rPr>
            </w:pPr>
            <w:r>
              <w:rPr>
                <w:rFonts w:hint="eastAsia" w:ascii="宋体" w:hAnsi="宋体" w:cs="宋体"/>
                <w:color w:val="000000"/>
                <w:kern w:val="0"/>
                <w:sz w:val="18"/>
                <w:szCs w:val="23"/>
              </w:rPr>
              <w:t>同城跨站</w:t>
            </w:r>
          </w:p>
        </w:tc>
        <w:tc>
          <w:tcPr>
            <w:tcW w:w="2633" w:type="dxa"/>
            <w:tcBorders>
              <w:top w:val="single" w:color="A6A6A6" w:sz="12" w:space="0"/>
              <w:left w:val="nil"/>
              <w:bottom w:val="single" w:color="A6A6A6" w:sz="8" w:space="0"/>
              <w:right w:val="single" w:color="A6A6A6" w:sz="12" w:space="0"/>
            </w:tcBorders>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23"/>
              </w:rPr>
            </w:pPr>
            <w:r>
              <w:rPr>
                <w:rFonts w:hint="eastAsia" w:ascii="宋体" w:hAnsi="宋体" w:cs="宋体"/>
                <w:color w:val="000000"/>
                <w:kern w:val="0"/>
                <w:sz w:val="18"/>
                <w:szCs w:val="23"/>
              </w:rPr>
              <w:t>跨城</w:t>
            </w:r>
          </w:p>
        </w:tc>
        <w:tc>
          <w:tcPr>
            <w:tcW w:w="25" w:type="dxa"/>
            <w:tcBorders>
              <w:top w:val="nil"/>
              <w:left w:val="nil"/>
              <w:bottom w:val="nil"/>
              <w:right w:val="nil"/>
            </w:tcBorders>
            <w:vAlign w:val="center"/>
          </w:tcPr>
          <w:p>
            <w:pPr>
              <w:widowControl/>
              <w:jc w:val="left"/>
              <w:rPr>
                <w:rFonts w:ascii="宋体" w:hAnsi="宋体" w:cs="宋体"/>
                <w:color w:val="000000"/>
                <w:kern w:val="0"/>
                <w:sz w:val="18"/>
                <w:szCs w:val="23"/>
              </w:rPr>
            </w:pPr>
          </w:p>
        </w:tc>
      </w:tr>
      <w:tr>
        <w:tblPrEx>
          <w:tblCellMar>
            <w:top w:w="0" w:type="dxa"/>
            <w:left w:w="0" w:type="dxa"/>
            <w:bottom w:w="0" w:type="dxa"/>
            <w:right w:w="0" w:type="dxa"/>
          </w:tblCellMar>
        </w:tblPrEx>
        <w:trPr>
          <w:trHeight w:val="790" w:hRule="atLeast"/>
        </w:trPr>
        <w:tc>
          <w:tcPr>
            <w:tcW w:w="1682" w:type="dxa"/>
            <w:vMerge w:val="restart"/>
            <w:tcBorders>
              <w:top w:val="nil"/>
              <w:left w:val="single" w:color="A6A6A6" w:sz="12" w:space="0"/>
              <w:bottom w:val="single" w:color="A6A6A6" w:sz="8" w:space="0"/>
              <w:right w:val="single" w:color="A6A6A6" w:sz="8"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cs="宋体"/>
                <w:color w:val="000000"/>
                <w:kern w:val="0"/>
                <w:sz w:val="18"/>
                <w:szCs w:val="23"/>
              </w:rPr>
            </w:pPr>
            <w:r>
              <w:rPr>
                <w:rFonts w:hint="eastAsia" w:ascii="宋体" w:hAnsi="宋体" w:cs="宋体"/>
                <w:color w:val="000000"/>
                <w:kern w:val="0"/>
                <w:sz w:val="18"/>
                <w:szCs w:val="23"/>
              </w:rPr>
              <w:t>寄件网点所在城市范围内</w:t>
            </w:r>
          </w:p>
        </w:tc>
        <w:tc>
          <w:tcPr>
            <w:tcW w:w="1458" w:type="dxa"/>
            <w:vMerge w:val="restart"/>
            <w:tcBorders>
              <w:top w:val="nil"/>
              <w:left w:val="nil"/>
              <w:bottom w:val="single" w:color="A6A6A6" w:sz="12" w:space="0"/>
              <w:right w:val="single" w:color="A6A6A6" w:sz="8" w:space="0"/>
            </w:tcBorders>
            <w:tcMar>
              <w:top w:w="0" w:type="dxa"/>
              <w:left w:w="108" w:type="dxa"/>
              <w:bottom w:w="0" w:type="dxa"/>
              <w:right w:w="108" w:type="dxa"/>
            </w:tcMar>
            <w:vAlign w:val="center"/>
          </w:tcPr>
          <w:p>
            <w:pPr>
              <w:widowControl/>
              <w:spacing w:before="100" w:beforeAutospacing="1" w:after="100" w:afterAutospacing="1"/>
              <w:jc w:val="center"/>
              <w:rPr>
                <w:rFonts w:ascii="宋体" w:hAnsi="宋体" w:cs="宋体"/>
                <w:color w:val="000000"/>
                <w:kern w:val="0"/>
                <w:sz w:val="18"/>
                <w:szCs w:val="23"/>
              </w:rPr>
            </w:pPr>
            <w:r>
              <w:rPr>
                <w:rFonts w:hint="eastAsia" w:ascii="宋体" w:hAnsi="宋体" w:cs="宋体"/>
                <w:color w:val="000000"/>
                <w:kern w:val="0"/>
                <w:sz w:val="18"/>
                <w:szCs w:val="23"/>
              </w:rPr>
              <w:t>免费</w:t>
            </w:r>
          </w:p>
        </w:tc>
        <w:tc>
          <w:tcPr>
            <w:tcW w:w="5089" w:type="dxa"/>
            <w:gridSpan w:val="2"/>
            <w:vMerge w:val="restart"/>
            <w:tcBorders>
              <w:top w:val="nil"/>
              <w:left w:val="nil"/>
              <w:bottom w:val="single" w:color="A6A6A6" w:sz="8" w:space="0"/>
              <w:right w:val="single" w:color="A6A6A6" w:sz="12"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cs="宋体"/>
                <w:color w:val="000000"/>
                <w:kern w:val="0"/>
                <w:sz w:val="18"/>
                <w:szCs w:val="23"/>
              </w:rPr>
            </w:pPr>
            <w:r>
              <w:rPr>
                <w:rFonts w:hint="eastAsia" w:ascii="宋体" w:hAnsi="宋体" w:cs="宋体"/>
                <w:color w:val="000000"/>
                <w:kern w:val="0"/>
                <w:sz w:val="18"/>
                <w:szCs w:val="23"/>
              </w:rPr>
              <w:t>原始发地至新目的地运费（运费）+5元更改手续费（改址服务费）</w:t>
            </w:r>
          </w:p>
        </w:tc>
        <w:tc>
          <w:tcPr>
            <w:tcW w:w="25" w:type="dxa"/>
            <w:tcBorders>
              <w:top w:val="nil"/>
              <w:left w:val="nil"/>
              <w:bottom w:val="nil"/>
              <w:right w:val="nil"/>
            </w:tcBorders>
            <w:vAlign w:val="center"/>
          </w:tcPr>
          <w:p>
            <w:pPr>
              <w:widowControl/>
              <w:jc w:val="left"/>
              <w:rPr>
                <w:rFonts w:ascii="宋体" w:hAnsi="宋体" w:cs="宋体"/>
                <w:color w:val="000000"/>
                <w:kern w:val="0"/>
                <w:sz w:val="18"/>
                <w:szCs w:val="23"/>
              </w:rPr>
            </w:pPr>
          </w:p>
        </w:tc>
      </w:tr>
      <w:tr>
        <w:tblPrEx>
          <w:tblCellMar>
            <w:top w:w="0" w:type="dxa"/>
            <w:left w:w="0" w:type="dxa"/>
            <w:bottom w:w="0" w:type="dxa"/>
            <w:right w:w="0" w:type="dxa"/>
          </w:tblCellMar>
        </w:tblPrEx>
        <w:trPr>
          <w:trHeight w:val="289" w:hRule="atLeast"/>
        </w:trPr>
        <w:tc>
          <w:tcPr>
            <w:tcW w:w="0" w:type="auto"/>
            <w:vMerge w:val="continue"/>
            <w:tcBorders>
              <w:top w:val="nil"/>
              <w:left w:val="single" w:color="A6A6A6" w:sz="12" w:space="0"/>
              <w:bottom w:val="single" w:color="A6A6A6" w:sz="8" w:space="0"/>
              <w:right w:val="single" w:color="A6A6A6" w:sz="8" w:space="0"/>
            </w:tcBorders>
            <w:vAlign w:val="center"/>
          </w:tcPr>
          <w:p>
            <w:pPr>
              <w:widowControl/>
              <w:jc w:val="left"/>
              <w:rPr>
                <w:rFonts w:ascii="宋体" w:hAnsi="宋体" w:cs="宋体"/>
                <w:color w:val="000000"/>
                <w:kern w:val="0"/>
                <w:sz w:val="18"/>
                <w:szCs w:val="23"/>
              </w:rPr>
            </w:pPr>
          </w:p>
        </w:tc>
        <w:tc>
          <w:tcPr>
            <w:tcW w:w="0" w:type="auto"/>
            <w:vMerge w:val="continue"/>
            <w:tcBorders>
              <w:top w:val="nil"/>
              <w:left w:val="nil"/>
              <w:bottom w:val="single" w:color="A6A6A6" w:sz="12" w:space="0"/>
              <w:right w:val="single" w:color="A6A6A6" w:sz="8" w:space="0"/>
            </w:tcBorders>
            <w:vAlign w:val="center"/>
          </w:tcPr>
          <w:p>
            <w:pPr>
              <w:widowControl/>
              <w:jc w:val="left"/>
              <w:rPr>
                <w:rFonts w:ascii="宋体" w:hAnsi="宋体" w:cs="宋体"/>
                <w:color w:val="000000"/>
                <w:kern w:val="0"/>
                <w:sz w:val="18"/>
                <w:szCs w:val="23"/>
              </w:rPr>
            </w:pPr>
          </w:p>
        </w:tc>
        <w:tc>
          <w:tcPr>
            <w:tcW w:w="0" w:type="auto"/>
            <w:gridSpan w:val="2"/>
            <w:vMerge w:val="continue"/>
            <w:tcBorders>
              <w:top w:val="nil"/>
              <w:left w:val="nil"/>
              <w:bottom w:val="single" w:color="A6A6A6" w:sz="8" w:space="0"/>
              <w:right w:val="single" w:color="A6A6A6" w:sz="12" w:space="0"/>
            </w:tcBorders>
            <w:vAlign w:val="center"/>
          </w:tcPr>
          <w:p>
            <w:pPr>
              <w:widowControl/>
              <w:jc w:val="left"/>
              <w:rPr>
                <w:rFonts w:ascii="宋体" w:hAnsi="宋体" w:cs="宋体"/>
                <w:color w:val="000000"/>
                <w:kern w:val="0"/>
                <w:sz w:val="18"/>
                <w:szCs w:val="23"/>
              </w:rPr>
            </w:pPr>
          </w:p>
        </w:tc>
        <w:tc>
          <w:tcPr>
            <w:tcW w:w="25" w:type="dxa"/>
            <w:tcBorders>
              <w:top w:val="nil"/>
              <w:left w:val="nil"/>
              <w:bottom w:val="nil"/>
              <w:right w:val="nil"/>
            </w:tcBorders>
            <w:vAlign w:val="center"/>
          </w:tcPr>
          <w:p>
            <w:pPr>
              <w:widowControl/>
              <w:jc w:val="left"/>
              <w:rPr>
                <w:rFonts w:ascii="宋体" w:hAnsi="宋体" w:cs="宋体"/>
                <w:color w:val="000000"/>
                <w:kern w:val="0"/>
                <w:sz w:val="18"/>
                <w:szCs w:val="23"/>
              </w:rPr>
            </w:pPr>
          </w:p>
        </w:tc>
      </w:tr>
      <w:tr>
        <w:tblPrEx>
          <w:tblCellMar>
            <w:top w:w="0" w:type="dxa"/>
            <w:left w:w="0" w:type="dxa"/>
            <w:bottom w:w="0" w:type="dxa"/>
            <w:right w:w="0" w:type="dxa"/>
          </w:tblCellMar>
        </w:tblPrEx>
        <w:trPr>
          <w:trHeight w:val="812" w:hRule="atLeast"/>
        </w:trPr>
        <w:tc>
          <w:tcPr>
            <w:tcW w:w="1682" w:type="dxa"/>
            <w:tcBorders>
              <w:top w:val="nil"/>
              <w:left w:val="single" w:color="A6A6A6" w:sz="12" w:space="0"/>
              <w:bottom w:val="single" w:color="A6A6A6" w:sz="12" w:space="0"/>
              <w:right w:val="single" w:color="A6A6A6" w:sz="8"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cs="宋体"/>
                <w:color w:val="000000"/>
                <w:kern w:val="0"/>
                <w:sz w:val="18"/>
                <w:szCs w:val="23"/>
              </w:rPr>
            </w:pPr>
            <w:r>
              <w:rPr>
                <w:rFonts w:hint="eastAsia" w:ascii="宋体" w:hAnsi="宋体" w:cs="宋体"/>
                <w:color w:val="000000"/>
                <w:kern w:val="0"/>
                <w:sz w:val="18"/>
                <w:szCs w:val="23"/>
              </w:rPr>
              <w:t>出了寄件网点所在城市范围</w:t>
            </w:r>
          </w:p>
        </w:tc>
        <w:tc>
          <w:tcPr>
            <w:tcW w:w="0" w:type="auto"/>
            <w:vMerge w:val="continue"/>
            <w:tcBorders>
              <w:top w:val="nil"/>
              <w:left w:val="nil"/>
              <w:bottom w:val="single" w:color="A6A6A6" w:sz="12" w:space="0"/>
              <w:right w:val="single" w:color="A6A6A6" w:sz="8" w:space="0"/>
            </w:tcBorders>
            <w:vAlign w:val="center"/>
          </w:tcPr>
          <w:p>
            <w:pPr>
              <w:widowControl/>
              <w:jc w:val="left"/>
              <w:rPr>
                <w:rFonts w:ascii="宋体" w:hAnsi="宋体" w:cs="宋体"/>
                <w:color w:val="000000"/>
                <w:kern w:val="0"/>
                <w:sz w:val="18"/>
                <w:szCs w:val="23"/>
              </w:rPr>
            </w:pPr>
          </w:p>
        </w:tc>
        <w:tc>
          <w:tcPr>
            <w:tcW w:w="2456" w:type="dxa"/>
            <w:tcBorders>
              <w:top w:val="nil"/>
              <w:left w:val="nil"/>
              <w:bottom w:val="single" w:color="A6A6A6" w:sz="12" w:space="0"/>
              <w:right w:val="single" w:color="A6A6A6" w:sz="8"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cs="宋体"/>
                <w:color w:val="000000"/>
                <w:kern w:val="0"/>
                <w:sz w:val="18"/>
                <w:szCs w:val="23"/>
              </w:rPr>
            </w:pPr>
            <w:r>
              <w:rPr>
                <w:rFonts w:hint="eastAsia" w:ascii="宋体" w:hAnsi="宋体" w:cs="宋体"/>
                <w:color w:val="000000"/>
                <w:kern w:val="0"/>
                <w:sz w:val="18"/>
                <w:szCs w:val="23"/>
              </w:rPr>
              <w:t>原始发地至新目的地运费（运费）+5元更改手续费（改址服务费）</w:t>
            </w:r>
          </w:p>
        </w:tc>
        <w:tc>
          <w:tcPr>
            <w:tcW w:w="2633" w:type="dxa"/>
            <w:tcBorders>
              <w:top w:val="nil"/>
              <w:left w:val="nil"/>
              <w:bottom w:val="single" w:color="A6A6A6" w:sz="12" w:space="0"/>
              <w:right w:val="single" w:color="A6A6A6" w:sz="12"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cs="宋体"/>
                <w:color w:val="000000"/>
                <w:kern w:val="0"/>
                <w:sz w:val="18"/>
                <w:szCs w:val="23"/>
              </w:rPr>
            </w:pPr>
            <w:r>
              <w:rPr>
                <w:rFonts w:hint="eastAsia" w:ascii="宋体" w:hAnsi="宋体" w:cs="宋体"/>
                <w:color w:val="000000"/>
                <w:kern w:val="0"/>
                <w:sz w:val="18"/>
                <w:szCs w:val="23"/>
              </w:rPr>
              <w:t>原始发地至预测拦截地运费（运费）+预测拦截地至新目的地运费（改址运费）+0元更改手续费</w:t>
            </w:r>
          </w:p>
        </w:tc>
        <w:tc>
          <w:tcPr>
            <w:tcW w:w="25" w:type="dxa"/>
            <w:tcBorders>
              <w:top w:val="nil"/>
              <w:left w:val="nil"/>
              <w:bottom w:val="nil"/>
              <w:right w:val="nil"/>
            </w:tcBorders>
            <w:vAlign w:val="center"/>
          </w:tcPr>
          <w:p>
            <w:pPr>
              <w:widowControl/>
              <w:jc w:val="left"/>
              <w:rPr>
                <w:rFonts w:ascii="宋体" w:hAnsi="宋体" w:cs="宋体"/>
                <w:color w:val="000000"/>
                <w:kern w:val="0"/>
                <w:sz w:val="18"/>
                <w:szCs w:val="23"/>
              </w:rPr>
            </w:pPr>
          </w:p>
        </w:tc>
      </w:tr>
    </w:tbl>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1）上述费用可能随市场情况变动，具体以您下单时展示的费用标准为准支付。</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如您有异议，请您停止支付，并停止使用改址服务，您继续支付并使用改址服务视为接受。</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2）改址类型说明：</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同城同站：收件地址修改前后在同一城市，且由京东物流同一站点进行派送。</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同城跨站：收件地址修改前后在同一城市，但是不由京东物流同一站点进行派送。</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跨城：收件地址修改前后不在同一城市（直辖市一级，非直辖市二级属于同城）。</w:t>
      </w:r>
    </w:p>
    <w:p>
      <w:pPr>
        <w:widowControl/>
        <w:spacing w:before="100" w:beforeAutospacing="1" w:after="100" w:afterAutospacing="1"/>
        <w:ind w:left="360" w:hanging="360"/>
        <w:jc w:val="left"/>
        <w:rPr>
          <w:rFonts w:ascii="宋体" w:hAnsi="宋体" w:cs="宋体"/>
          <w:color w:val="000000"/>
          <w:kern w:val="0"/>
          <w:sz w:val="23"/>
          <w:szCs w:val="23"/>
        </w:rPr>
      </w:pPr>
      <w:r>
        <w:rPr>
          <w:rFonts w:hint="eastAsia" w:ascii="宋体" w:hAnsi="宋体" w:cs="宋体"/>
          <w:color w:val="000000"/>
          <w:kern w:val="0"/>
          <w:sz w:val="23"/>
          <w:szCs w:val="23"/>
        </w:rPr>
        <w:t>2</w:t>
      </w:r>
      <w:r>
        <w:rPr>
          <w:rFonts w:hint="eastAsia" w:ascii="宋体" w:hAnsi="宋体"/>
          <w:color w:val="000000"/>
          <w:kern w:val="0"/>
          <w:sz w:val="23"/>
          <w:szCs w:val="23"/>
        </w:rPr>
        <w:t>、</w:t>
      </w:r>
      <w:r>
        <w:rPr>
          <w:rFonts w:hint="eastAsia" w:ascii="宋体" w:hAnsi="宋体" w:cs="宋体"/>
          <w:color w:val="000000"/>
          <w:kern w:val="0"/>
          <w:sz w:val="23"/>
          <w:szCs w:val="23"/>
        </w:rPr>
        <w:t>改址服务不能适用的场景说明（包含但不限于以下场景，具体以京东物流说明为准）：</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1）修改范围仅包含纯配订单，不包括仓配供应链订单以及京东商城自营和POP订单；</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2）但除校园派、京东星配、乡镇共配、城市共配外，其他转三方承运商的运单不提供改址服务；</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3）转便民、自提、众包后不提供改址服务；</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4）在揽收后-运单终结状态（妥投、部分妥投、拒收、已取消、换单打印）之前可提交改址需求；</w:t>
      </w:r>
    </w:p>
    <w:p>
      <w:pPr>
        <w:widowControl/>
        <w:spacing w:before="100" w:beforeAutospacing="1" w:after="100" w:afterAutospacing="1"/>
        <w:ind w:left="360" w:hanging="360"/>
        <w:jc w:val="left"/>
        <w:rPr>
          <w:rFonts w:ascii="宋体" w:hAnsi="宋体" w:cs="宋体"/>
          <w:color w:val="000000"/>
          <w:kern w:val="0"/>
          <w:sz w:val="23"/>
          <w:szCs w:val="23"/>
        </w:rPr>
      </w:pPr>
      <w:r>
        <w:rPr>
          <w:rFonts w:hint="eastAsia" w:ascii="宋体" w:hAnsi="宋体" w:cs="宋体"/>
          <w:color w:val="000000"/>
          <w:kern w:val="0"/>
          <w:sz w:val="23"/>
          <w:szCs w:val="23"/>
        </w:rPr>
        <w:t>5）特快重货、特快零担、特惠重货允许跨站改址，其他产品暂无法提供跨站改址服务；</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6）如您选购了部分增值服务或其他情况下，是否适用改址服务，以下单页面显示的为准。</w:t>
      </w:r>
    </w:p>
    <w:p>
      <w:pPr>
        <w:widowControl/>
        <w:spacing w:before="100" w:beforeAutospacing="1" w:after="100" w:afterAutospacing="1"/>
        <w:ind w:left="510" w:hanging="510"/>
        <w:jc w:val="left"/>
        <w:rPr>
          <w:rFonts w:ascii="宋体" w:hAnsi="宋体" w:cs="宋体"/>
          <w:color w:val="000000"/>
          <w:kern w:val="0"/>
          <w:sz w:val="23"/>
          <w:szCs w:val="23"/>
        </w:rPr>
      </w:pPr>
      <w:r>
        <w:rPr>
          <w:rFonts w:hint="eastAsia" w:ascii="宋体" w:hAnsi="宋体" w:cs="宋体"/>
          <w:color w:val="000000"/>
          <w:kern w:val="0"/>
          <w:sz w:val="23"/>
          <w:szCs w:val="23"/>
        </w:rPr>
        <w:t>三、</w:t>
      </w:r>
      <w:r>
        <w:rPr>
          <w:rFonts w:ascii="宋体" w:hAnsi="宋体"/>
          <w:color w:val="000000"/>
          <w:kern w:val="0"/>
          <w:sz w:val="23"/>
          <w:szCs w:val="23"/>
        </w:rPr>
        <w:t> </w:t>
      </w:r>
      <w:r>
        <w:rPr>
          <w:rFonts w:hint="eastAsia" w:ascii="宋体" w:hAnsi="宋体" w:cs="宋体"/>
          <w:b/>
          <w:bCs/>
          <w:color w:val="000000"/>
          <w:kern w:val="0"/>
          <w:sz w:val="23"/>
          <w:szCs w:val="23"/>
        </w:rPr>
        <w:t>其它说明</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1、在合作期间内，甲方同意按照协议约定的价格向乙方支付服务费用，且认可乙方有权根据经营需要对服务产品及价格进行调整，乙方书面通知后甲方无异议，视为甲方同意按照最新价格进行结算。</w:t>
      </w:r>
    </w:p>
    <w:p>
      <w:pPr>
        <w:widowControl/>
        <w:spacing w:before="100" w:beforeAutospacing="1" w:after="100" w:afterAutospacing="1"/>
        <w:jc w:val="left"/>
        <w:rPr>
          <w:rFonts w:ascii="宋体" w:hAnsi="宋体" w:cs="宋体"/>
          <w:color w:val="000000"/>
          <w:kern w:val="0"/>
          <w:sz w:val="23"/>
          <w:szCs w:val="23"/>
        </w:rPr>
      </w:pPr>
      <w:r>
        <w:rPr>
          <w:rFonts w:hint="eastAsia" w:ascii="宋体" w:hAnsi="宋体" w:cs="宋体"/>
          <w:color w:val="000000"/>
          <w:kern w:val="0"/>
          <w:sz w:val="23"/>
          <w:szCs w:val="23"/>
        </w:rPr>
        <w:t>2、本协议为主合同的补充协议，与主合同具有同等法律效力。本协议未约定的事宜仍按照主合同的约定执行，本补充协议与主合同约定不一致的，以本补充协议约定为准执行。</w:t>
      </w:r>
    </w:p>
    <w:p>
      <w:pPr>
        <w:rPr>
          <w:rFonts w:asciiTheme="minorEastAsia" w:hAnsiTheme="minorEastAsia" w:eastAsiaTheme="minorEastAsia"/>
          <w:sz w:val="24"/>
        </w:rPr>
      </w:pPr>
    </w:p>
    <w:p>
      <w:pPr>
        <w:rPr>
          <w:rFonts w:ascii="宋体" w:hAnsi="宋体"/>
          <w:b/>
          <w:sz w:val="23"/>
          <w:szCs w:val="23"/>
        </w:rPr>
      </w:pPr>
      <w:r>
        <w:rPr>
          <w:rFonts w:hint="eastAsia" w:ascii="宋体" w:hAnsi="宋体"/>
          <w:b/>
          <w:sz w:val="23"/>
          <w:szCs w:val="23"/>
        </w:rPr>
        <w:t>附件十五：商务仓数字化产品补充协议</w:t>
      </w:r>
    </w:p>
    <w:p>
      <w:pPr>
        <w:rPr>
          <w:rFonts w:ascii="宋体" w:hAnsi="宋体"/>
          <w:sz w:val="23"/>
          <w:szCs w:val="23"/>
        </w:rPr>
      </w:pPr>
    </w:p>
    <w:p>
      <w:pPr>
        <w:rPr>
          <w:rFonts w:ascii="宋体" w:hAnsi="宋体"/>
          <w:sz w:val="23"/>
          <w:szCs w:val="23"/>
        </w:rPr>
      </w:pPr>
      <w:r>
        <w:rPr>
          <w:rFonts w:hint="eastAsia" w:ascii="宋体" w:hAnsi="宋体"/>
          <w:sz w:val="23"/>
          <w:szCs w:val="23"/>
        </w:rPr>
        <w:t>一、服务内容</w:t>
      </w:r>
    </w:p>
    <w:p>
      <w:pPr>
        <w:rPr>
          <w:rFonts w:ascii="宋体" w:hAnsi="宋体"/>
          <w:sz w:val="23"/>
          <w:szCs w:val="23"/>
        </w:rPr>
      </w:pPr>
      <w:r>
        <w:rPr>
          <w:rFonts w:hint="eastAsia" w:ascii="宋体" w:hAnsi="宋体"/>
          <w:sz w:val="23"/>
          <w:szCs w:val="23"/>
        </w:rPr>
        <w:t>商务仓数字化产品是乙方结合大数据与智能算法，依托京慧商家服务平台（https://jh.jdl.com/）向甲方提供可视、分析和决策的数据类产品。具体如下：</w:t>
      </w:r>
    </w:p>
    <w:p>
      <w:pPr>
        <w:rPr>
          <w:rFonts w:ascii="宋体" w:hAnsi="宋体"/>
          <w:sz w:val="23"/>
          <w:szCs w:val="23"/>
        </w:rPr>
      </w:pPr>
    </w:p>
    <w:p>
      <w:pPr>
        <w:rPr>
          <w:rFonts w:ascii="宋体" w:hAnsi="宋体"/>
          <w:sz w:val="23"/>
          <w:szCs w:val="23"/>
        </w:rPr>
      </w:pPr>
      <w:r>
        <w:rPr>
          <w:rFonts w:hint="eastAsia" w:ascii="宋体" w:hAnsi="宋体"/>
          <w:sz w:val="23"/>
          <w:szCs w:val="23"/>
        </w:rPr>
        <w:t>1.1 数据可视：基于甲方业务数据提供数据可视化看板，用于供应链日常运营指导；</w:t>
      </w:r>
    </w:p>
    <w:p>
      <w:pPr>
        <w:rPr>
          <w:rFonts w:ascii="宋体" w:hAnsi="宋体"/>
          <w:sz w:val="23"/>
          <w:szCs w:val="23"/>
        </w:rPr>
      </w:pPr>
    </w:p>
    <w:p>
      <w:pPr>
        <w:rPr>
          <w:rFonts w:ascii="宋体" w:hAnsi="宋体"/>
          <w:sz w:val="23"/>
          <w:szCs w:val="23"/>
        </w:rPr>
      </w:pPr>
      <w:r>
        <w:rPr>
          <w:rFonts w:hint="eastAsia" w:ascii="宋体" w:hAnsi="宋体"/>
          <w:sz w:val="23"/>
          <w:szCs w:val="23"/>
        </w:rPr>
        <w:t>1.2   数据分析：基于甲方的业务数据提供深度诊断分析，用于供应链日常运营指导；</w:t>
      </w:r>
    </w:p>
    <w:p>
      <w:pPr>
        <w:rPr>
          <w:rFonts w:ascii="宋体" w:hAnsi="宋体"/>
          <w:sz w:val="23"/>
          <w:szCs w:val="23"/>
        </w:rPr>
      </w:pPr>
    </w:p>
    <w:p>
      <w:pPr>
        <w:rPr>
          <w:rFonts w:ascii="宋体" w:hAnsi="宋体"/>
          <w:sz w:val="23"/>
          <w:szCs w:val="23"/>
        </w:rPr>
      </w:pPr>
      <w:r>
        <w:rPr>
          <w:rFonts w:hint="eastAsia" w:ascii="宋体" w:hAnsi="宋体"/>
          <w:sz w:val="23"/>
          <w:szCs w:val="23"/>
        </w:rPr>
        <w:t>1.3   数据决策：基于甲方的业务数据提供决策建议输出工具，用于供应链日常运营决策指导；</w:t>
      </w:r>
    </w:p>
    <w:p>
      <w:pPr>
        <w:rPr>
          <w:rFonts w:ascii="宋体" w:hAnsi="宋体"/>
          <w:sz w:val="23"/>
          <w:szCs w:val="23"/>
        </w:rPr>
      </w:pPr>
    </w:p>
    <w:p>
      <w:pPr>
        <w:rPr>
          <w:rFonts w:ascii="宋体" w:hAnsi="宋体"/>
          <w:sz w:val="23"/>
          <w:szCs w:val="23"/>
        </w:rPr>
      </w:pPr>
      <w:r>
        <w:rPr>
          <w:rFonts w:hint="eastAsia" w:ascii="宋体" w:hAnsi="宋体"/>
          <w:sz w:val="23"/>
          <w:szCs w:val="23"/>
        </w:rPr>
        <w:t>1.4   运营指导：基于系统服务为甲方提供库存运营管理指导和日常运维服务；</w:t>
      </w:r>
    </w:p>
    <w:p>
      <w:pPr>
        <w:rPr>
          <w:rFonts w:ascii="宋体" w:hAnsi="宋体"/>
          <w:sz w:val="23"/>
          <w:szCs w:val="23"/>
        </w:rPr>
      </w:pPr>
    </w:p>
    <w:p>
      <w:pPr>
        <w:rPr>
          <w:rFonts w:ascii="宋体" w:hAnsi="宋体"/>
          <w:sz w:val="23"/>
          <w:szCs w:val="23"/>
        </w:rPr>
      </w:pPr>
      <w:r>
        <w:rPr>
          <w:rFonts w:hint="eastAsia" w:ascii="宋体" w:hAnsi="宋体"/>
          <w:sz w:val="23"/>
          <w:szCs w:val="23"/>
        </w:rPr>
        <w:t>1.5   数字化产品所提供的数据可视、数据分析、数据决策系统工具，以京慧商家服务平台发布的统一标准、统一口径为数据服务标准。</w:t>
      </w:r>
    </w:p>
    <w:p>
      <w:pPr>
        <w:rPr>
          <w:rFonts w:ascii="宋体" w:hAnsi="宋体"/>
          <w:sz w:val="23"/>
          <w:szCs w:val="23"/>
        </w:rPr>
      </w:pPr>
    </w:p>
    <w:p>
      <w:pPr>
        <w:rPr>
          <w:rFonts w:ascii="宋体" w:hAnsi="宋体"/>
          <w:sz w:val="23"/>
          <w:szCs w:val="23"/>
        </w:rPr>
      </w:pPr>
      <w:r>
        <w:rPr>
          <w:rFonts w:hint="eastAsia" w:ascii="宋体" w:hAnsi="宋体"/>
          <w:sz w:val="23"/>
          <w:szCs w:val="23"/>
        </w:rPr>
        <w:t>二、服务规则</w:t>
      </w:r>
    </w:p>
    <w:p>
      <w:pPr>
        <w:rPr>
          <w:rFonts w:ascii="宋体" w:hAnsi="宋体"/>
          <w:sz w:val="23"/>
          <w:szCs w:val="23"/>
        </w:rPr>
      </w:pPr>
      <w:r>
        <w:rPr>
          <w:rFonts w:hint="eastAsia" w:ascii="宋体" w:hAnsi="宋体"/>
          <w:sz w:val="23"/>
          <w:szCs w:val="23"/>
        </w:rPr>
        <w:t>2.1 甲方同意并理解乙方是基于大数据和数理算法提供的数据服务产品，甲方可用于日常运营以及日常决策参考，不涉及且不构成甲方业务变化的影响及干预因素；</w:t>
      </w:r>
    </w:p>
    <w:p>
      <w:pPr>
        <w:rPr>
          <w:rFonts w:ascii="宋体" w:hAnsi="宋体"/>
          <w:sz w:val="23"/>
          <w:szCs w:val="23"/>
        </w:rPr>
      </w:pPr>
    </w:p>
    <w:p>
      <w:pPr>
        <w:rPr>
          <w:rFonts w:ascii="宋体" w:hAnsi="宋体"/>
          <w:sz w:val="23"/>
          <w:szCs w:val="23"/>
        </w:rPr>
      </w:pPr>
      <w:r>
        <w:rPr>
          <w:rFonts w:hint="eastAsia" w:ascii="宋体" w:hAnsi="宋体"/>
          <w:sz w:val="23"/>
          <w:szCs w:val="23"/>
        </w:rPr>
        <w:t>2.2   乙方为甲方提供数据参考和决策建议产品，均不涉及甲方与京东物流签订的任何形式的合同以及协议的考核指标及考核数据；</w:t>
      </w:r>
    </w:p>
    <w:p>
      <w:pPr>
        <w:rPr>
          <w:rFonts w:ascii="宋体" w:hAnsi="宋体"/>
          <w:sz w:val="23"/>
          <w:szCs w:val="23"/>
        </w:rPr>
      </w:pPr>
    </w:p>
    <w:p>
      <w:pPr>
        <w:rPr>
          <w:rFonts w:ascii="宋体" w:hAnsi="宋体"/>
          <w:sz w:val="23"/>
          <w:szCs w:val="23"/>
        </w:rPr>
      </w:pPr>
      <w:r>
        <w:rPr>
          <w:rFonts w:hint="eastAsia" w:ascii="宋体" w:hAnsi="宋体"/>
          <w:sz w:val="23"/>
          <w:szCs w:val="23"/>
        </w:rPr>
        <w:t>2.3   甲方应妥善保管登录数字化产品的账户名称及账户密码，所有通过甲方的账户名称及密码登录系统进行操作的行为均视为甲方或甲方授权的行为，并对相应行为承担全部责任。 甲方已充分知悉账户名称及密码的重要性及因保管不善导致账户名和密码被泄露而造成的所有后果，并承担所有责任；</w:t>
      </w:r>
    </w:p>
    <w:p>
      <w:pPr>
        <w:rPr>
          <w:rFonts w:ascii="宋体" w:hAnsi="宋体"/>
          <w:sz w:val="23"/>
          <w:szCs w:val="23"/>
        </w:rPr>
      </w:pPr>
    </w:p>
    <w:p>
      <w:pPr>
        <w:rPr>
          <w:rFonts w:ascii="宋体" w:hAnsi="宋体"/>
          <w:sz w:val="23"/>
          <w:szCs w:val="23"/>
        </w:rPr>
      </w:pPr>
      <w:r>
        <w:rPr>
          <w:rFonts w:hint="eastAsia" w:ascii="宋体" w:hAnsi="宋体"/>
          <w:sz w:val="23"/>
          <w:szCs w:val="23"/>
        </w:rPr>
        <w:t>2.4  甲方不得以使用数字化产品没有达到预期或/和没有效果等任何理由拒绝或/和延迟支付物流服务及相关费用；</w:t>
      </w:r>
    </w:p>
    <w:p>
      <w:pPr>
        <w:rPr>
          <w:rFonts w:ascii="宋体" w:hAnsi="宋体"/>
          <w:sz w:val="23"/>
          <w:szCs w:val="23"/>
        </w:rPr>
      </w:pPr>
    </w:p>
    <w:p>
      <w:pPr>
        <w:rPr>
          <w:rFonts w:ascii="宋体" w:hAnsi="宋体"/>
          <w:sz w:val="23"/>
          <w:szCs w:val="23"/>
        </w:rPr>
      </w:pPr>
      <w:r>
        <w:rPr>
          <w:rFonts w:hint="eastAsia" w:ascii="宋体" w:hAnsi="宋体"/>
          <w:sz w:val="23"/>
          <w:szCs w:val="23"/>
        </w:rPr>
        <w:t>2.5  甲方知悉且同意，乙方数字化产品默认为甲方开通基础版（免费服务），其他版本甲方可根据需要另行申请开通。</w:t>
      </w:r>
    </w:p>
    <w:p>
      <w:pPr>
        <w:rPr>
          <w:rFonts w:ascii="宋体" w:hAnsi="宋体"/>
          <w:sz w:val="23"/>
          <w:szCs w:val="23"/>
        </w:rPr>
      </w:pPr>
    </w:p>
    <w:p>
      <w:pPr>
        <w:rPr>
          <w:rFonts w:ascii="宋体" w:hAnsi="宋体"/>
          <w:sz w:val="23"/>
          <w:szCs w:val="23"/>
        </w:rPr>
      </w:pPr>
      <w:r>
        <w:rPr>
          <w:rFonts w:hint="eastAsia" w:ascii="宋体" w:hAnsi="宋体"/>
          <w:sz w:val="23"/>
          <w:szCs w:val="23"/>
        </w:rPr>
        <w:t>2.6  甲方知悉且同意，为给甲方提供智能决策类产品服务，包含但不限于数字化产品中销量预测、智能补货、滞销处理、库存预警等四个服务模块，乙方需要收集甲方在乙方相关系统中生成的仓配数据，并将提供给京东零售进行共同使用、整合分析。</w:t>
      </w:r>
    </w:p>
    <w:p>
      <w:pPr>
        <w:rPr>
          <w:rFonts w:ascii="宋体" w:hAnsi="宋体"/>
          <w:sz w:val="23"/>
          <w:szCs w:val="23"/>
        </w:rPr>
      </w:pPr>
    </w:p>
    <w:p>
      <w:pPr>
        <w:rPr>
          <w:rFonts w:ascii="宋体" w:hAnsi="宋体"/>
          <w:sz w:val="23"/>
          <w:szCs w:val="23"/>
        </w:rPr>
      </w:pPr>
      <w:r>
        <w:rPr>
          <w:rStyle w:val="30"/>
          <w:lang w:val="zh-CN"/>
        </w:rPr>
        <w:commentReference w:id="45"/>
      </w:r>
    </w:p>
    <w:p>
      <w:pPr>
        <w:rPr>
          <w:rFonts w:ascii="宋体" w:hAnsi="宋体"/>
          <w:sz w:val="23"/>
          <w:szCs w:val="23"/>
        </w:rPr>
      </w:pPr>
      <w:r>
        <w:rPr>
          <w:rFonts w:hint="eastAsia" w:ascii="宋体" w:hAnsi="宋体"/>
          <w:sz w:val="23"/>
          <w:szCs w:val="23"/>
        </w:rPr>
        <w:t>5      免责和有限责任</w:t>
      </w:r>
    </w:p>
    <w:p>
      <w:pPr>
        <w:rPr>
          <w:rFonts w:ascii="宋体" w:hAnsi="宋体"/>
          <w:sz w:val="23"/>
          <w:szCs w:val="23"/>
        </w:rPr>
      </w:pPr>
    </w:p>
    <w:p>
      <w:pPr>
        <w:rPr>
          <w:rFonts w:ascii="宋体" w:hAnsi="宋体"/>
          <w:sz w:val="23"/>
          <w:szCs w:val="23"/>
        </w:rPr>
      </w:pPr>
      <w:r>
        <w:rPr>
          <w:rFonts w:hint="eastAsia" w:ascii="宋体" w:hAnsi="宋体"/>
          <w:sz w:val="23"/>
          <w:szCs w:val="23"/>
        </w:rPr>
        <w:t>5.1 乙方为甲方提供供应链管理相关的数据可视、数据分析、数据决策以及周边有关的系统工具类服务，其中一部分为京东物流自研服务，可以对服务内容合规性、有效性及服务真实性负责；一部分为京东物流同京东零售协同提供，收集甲方在京东物流/京东零售相关系统中生成的仓配数据等，且将提供给京东零售/京东物流与其收集的京东零售/京东物流相关系统中数据进行整合分析，以便甲方获得更全面的产品服务；一部分为其他第三方公司提供的服务，对于该部分服务内容的合规性将根据通用规则进行把关管控，但数字化系统不对其合法性、有效性及服务的真实性作任何明示和默示的担保。甲方需自行了解服务的适用性、各项内容以及使用说明等。</w:t>
      </w:r>
    </w:p>
    <w:p>
      <w:pPr>
        <w:rPr>
          <w:rFonts w:ascii="宋体" w:hAnsi="宋体"/>
          <w:sz w:val="23"/>
          <w:szCs w:val="23"/>
        </w:rPr>
      </w:pPr>
    </w:p>
    <w:p>
      <w:pPr>
        <w:rPr>
          <w:rFonts w:ascii="宋体" w:hAnsi="宋体"/>
          <w:sz w:val="23"/>
          <w:szCs w:val="23"/>
        </w:rPr>
      </w:pPr>
      <w:r>
        <w:rPr>
          <w:rFonts w:hint="eastAsia" w:ascii="宋体" w:hAnsi="宋体"/>
          <w:sz w:val="23"/>
          <w:szCs w:val="23"/>
        </w:rPr>
        <w:t>5.2 乙方将在现有技术的基础上尽最大努力提供相应的安全措施以保障服务安全和正常运行。但由于可能存在的计算机病毒、网络通讯故障、系统维护等方面的因素以及可能发生的不可抗力事件，乙方在此明确声明对服务不作任何明示或暗示的保证，包括但不限于对服务的可适用性、没有错误或疏漏、持续性、准确性、可靠性、适用于某一特定用途。乙方不对因下述任一情况而导致的任何损害赔偿承担责任，包括但不限于利润、商誉、使用、数据等方面的损失或其它无形损失的损害赔偿（无论京慧是否已被告知该等损害赔偿的可能性）。</w:t>
      </w:r>
    </w:p>
    <w:p>
      <w:pPr>
        <w:rPr>
          <w:rFonts w:ascii="宋体" w:hAnsi="宋体"/>
          <w:sz w:val="23"/>
          <w:szCs w:val="23"/>
        </w:rPr>
      </w:pPr>
    </w:p>
    <w:p>
      <w:pPr>
        <w:rPr>
          <w:rFonts w:ascii="宋体" w:hAnsi="宋体"/>
          <w:sz w:val="23"/>
          <w:szCs w:val="23"/>
        </w:rPr>
      </w:pPr>
      <w:r>
        <w:rPr>
          <w:rFonts w:hint="eastAsia" w:ascii="宋体" w:hAnsi="宋体"/>
          <w:sz w:val="23"/>
          <w:szCs w:val="23"/>
        </w:rPr>
        <w:t>5.2.1   系统停机维护；</w:t>
      </w:r>
    </w:p>
    <w:p>
      <w:pPr>
        <w:rPr>
          <w:rFonts w:ascii="宋体" w:hAnsi="宋体"/>
          <w:sz w:val="23"/>
          <w:szCs w:val="23"/>
        </w:rPr>
      </w:pPr>
    </w:p>
    <w:p>
      <w:pPr>
        <w:rPr>
          <w:rFonts w:ascii="宋体" w:hAnsi="宋体"/>
          <w:sz w:val="23"/>
          <w:szCs w:val="23"/>
        </w:rPr>
      </w:pPr>
      <w:r>
        <w:rPr>
          <w:rFonts w:hint="eastAsia" w:ascii="宋体" w:hAnsi="宋体"/>
          <w:sz w:val="23"/>
          <w:szCs w:val="23"/>
        </w:rPr>
        <w:t>5.2.2   通讯终端或电信设备出现故障不能进行数据传输的；</w:t>
      </w:r>
    </w:p>
    <w:p>
      <w:pPr>
        <w:rPr>
          <w:rFonts w:ascii="宋体" w:hAnsi="宋体"/>
          <w:sz w:val="23"/>
          <w:szCs w:val="23"/>
        </w:rPr>
      </w:pPr>
    </w:p>
    <w:p>
      <w:pPr>
        <w:rPr>
          <w:rFonts w:ascii="宋体" w:hAnsi="宋体"/>
          <w:sz w:val="23"/>
          <w:szCs w:val="23"/>
        </w:rPr>
      </w:pPr>
      <w:r>
        <w:rPr>
          <w:rFonts w:hint="eastAsia" w:ascii="宋体" w:hAnsi="宋体"/>
          <w:sz w:val="23"/>
          <w:szCs w:val="23"/>
        </w:rPr>
        <w:t>5.2.3   因台风、地震、海啸、洪水、停电、战争、恐怖袭击等不可抗力之因素，造成系统障碍不能执行业务的；</w:t>
      </w:r>
    </w:p>
    <w:p>
      <w:pPr>
        <w:rPr>
          <w:rFonts w:ascii="宋体" w:hAnsi="宋体"/>
          <w:sz w:val="23"/>
          <w:szCs w:val="23"/>
        </w:rPr>
      </w:pPr>
    </w:p>
    <w:p>
      <w:pPr>
        <w:rPr>
          <w:rFonts w:ascii="宋体" w:hAnsi="宋体"/>
          <w:sz w:val="23"/>
          <w:szCs w:val="23"/>
        </w:rPr>
      </w:pPr>
      <w:r>
        <w:rPr>
          <w:rFonts w:hint="eastAsia" w:ascii="宋体" w:hAnsi="宋体"/>
          <w:sz w:val="23"/>
          <w:szCs w:val="23"/>
        </w:rPr>
        <w:t>5.2.4   由于黑客攻击、电信部门技术调整或故障、网站升级、第三方问题等原因而造成的服务中断或者延迟。</w:t>
      </w:r>
    </w:p>
    <w:p>
      <w:pPr>
        <w:rPr>
          <w:rFonts w:ascii="宋体" w:hAnsi="宋体"/>
          <w:sz w:val="23"/>
          <w:szCs w:val="23"/>
        </w:rPr>
      </w:pPr>
    </w:p>
    <w:p>
      <w:pPr>
        <w:rPr>
          <w:rFonts w:ascii="宋体" w:hAnsi="宋体"/>
          <w:sz w:val="23"/>
          <w:szCs w:val="23"/>
        </w:rPr>
      </w:pPr>
      <w:r>
        <w:rPr>
          <w:rFonts w:hint="eastAsia" w:ascii="宋体" w:hAnsi="宋体"/>
          <w:sz w:val="23"/>
          <w:szCs w:val="23"/>
        </w:rPr>
        <w:t>六、知识产权</w:t>
      </w:r>
    </w:p>
    <w:p>
      <w:pPr>
        <w:rPr>
          <w:rFonts w:ascii="宋体" w:hAnsi="宋体"/>
          <w:sz w:val="23"/>
          <w:szCs w:val="23"/>
        </w:rPr>
      </w:pPr>
    </w:p>
    <w:p>
      <w:pPr>
        <w:rPr>
          <w:rFonts w:ascii="宋体" w:hAnsi="宋体"/>
          <w:sz w:val="23"/>
          <w:szCs w:val="23"/>
        </w:rPr>
      </w:pPr>
      <w:r>
        <w:rPr>
          <w:rFonts w:hint="eastAsia" w:ascii="宋体" w:hAnsi="宋体"/>
          <w:sz w:val="23"/>
          <w:szCs w:val="23"/>
        </w:rPr>
        <w:t>6.1 乙方数字化产品上所有内容，包括但不限于著作、图片、档案、资讯、资料、网站架构、网站画面的安排、网页设计，均由乙方或其他权利人依法拥有其知识产权，包括但不限于商标权、专利权、著作权、商业秘密等。非经乙方或其他权利人书面同意任何人不得擅自使用、修改、复制、公开传播、改变、散布、发行或公开发表任何程序或内容。</w:t>
      </w:r>
    </w:p>
    <w:p>
      <w:pPr>
        <w:rPr>
          <w:rFonts w:ascii="宋体" w:hAnsi="宋体"/>
          <w:sz w:val="23"/>
          <w:szCs w:val="23"/>
        </w:rPr>
      </w:pPr>
    </w:p>
    <w:p>
      <w:pPr>
        <w:rPr>
          <w:rFonts w:ascii="宋体" w:hAnsi="宋体"/>
          <w:sz w:val="23"/>
          <w:szCs w:val="23"/>
        </w:rPr>
      </w:pPr>
      <w:r>
        <w:rPr>
          <w:rFonts w:hint="eastAsia" w:ascii="宋体" w:hAnsi="宋体"/>
          <w:sz w:val="23"/>
          <w:szCs w:val="23"/>
        </w:rPr>
        <w:t>6.2 乙方运营数据的全部权利，均归属乙方。前述运营数据包括但不限于任何甲方注册信息、甲方针对平台应用的付费数据、使用数据等。未经乙方事先书面同意，任何人不得为任何目的擅自保存、使用或授权他人使用前述运营数据。</w:t>
      </w:r>
    </w:p>
    <w:p>
      <w:pPr>
        <w:rPr>
          <w:rFonts w:ascii="宋体" w:hAnsi="宋体"/>
          <w:sz w:val="23"/>
          <w:szCs w:val="23"/>
        </w:rPr>
      </w:pPr>
    </w:p>
    <w:p>
      <w:pPr>
        <w:rPr>
          <w:rFonts w:ascii="宋体" w:hAnsi="宋体"/>
          <w:sz w:val="23"/>
          <w:szCs w:val="23"/>
        </w:rPr>
      </w:pPr>
      <w:r>
        <w:rPr>
          <w:rFonts w:hint="eastAsia" w:ascii="宋体" w:hAnsi="宋体"/>
          <w:sz w:val="23"/>
          <w:szCs w:val="23"/>
        </w:rPr>
        <w:t>七、其他约定</w:t>
      </w:r>
    </w:p>
    <w:p>
      <w:pPr>
        <w:rPr>
          <w:rFonts w:ascii="宋体" w:hAnsi="宋体"/>
          <w:sz w:val="23"/>
          <w:szCs w:val="23"/>
        </w:rPr>
      </w:pPr>
    </w:p>
    <w:p>
      <w:pPr>
        <w:rPr>
          <w:rFonts w:ascii="宋体" w:hAnsi="宋体"/>
          <w:sz w:val="23"/>
          <w:szCs w:val="23"/>
        </w:rPr>
      </w:pPr>
      <w:r>
        <w:rPr>
          <w:rFonts w:hint="eastAsia" w:ascii="宋体" w:hAnsi="宋体"/>
          <w:sz w:val="23"/>
          <w:szCs w:val="23"/>
        </w:rPr>
        <w:t>本协议与主合同约定不一致的，以本协议约定为准。本协议未涉及事项，均依据主合同的约定执行。</w:t>
      </w:r>
    </w:p>
    <w:p>
      <w:pPr>
        <w:rPr>
          <w:rFonts w:ascii="宋体" w:hAnsi="宋体"/>
          <w:sz w:val="23"/>
          <w:szCs w:val="23"/>
        </w:rPr>
      </w:pPr>
    </w:p>
    <w:p>
      <w:pPr>
        <w:rPr>
          <w:rFonts w:ascii="宋体" w:hAnsi="宋体"/>
          <w:sz w:val="23"/>
          <w:szCs w:val="23"/>
        </w:rPr>
      </w:pPr>
    </w:p>
    <w:p>
      <w:pPr>
        <w:rPr>
          <w:rFonts w:ascii="宋体" w:hAnsi="宋体"/>
          <w:sz w:val="23"/>
          <w:szCs w:val="23"/>
        </w:rPr>
      </w:pPr>
    </w:p>
    <w:p>
      <w:pPr>
        <w:widowControl/>
        <w:spacing w:before="100" w:beforeAutospacing="1" w:after="120" w:line="360" w:lineRule="atLeast"/>
        <w:jc w:val="left"/>
        <w:rPr>
          <w:rFonts w:ascii="微软雅黑" w:hAnsi="微软雅黑" w:eastAsia="微软雅黑" w:cs="宋体"/>
          <w:color w:val="000000"/>
          <w:kern w:val="0"/>
          <w:sz w:val="27"/>
          <w:szCs w:val="27"/>
        </w:rPr>
      </w:pPr>
      <w:r>
        <w:rPr>
          <w:rFonts w:hint="eastAsia" w:ascii="宋体" w:hAnsi="宋体" w:cs="宋体"/>
          <w:b/>
          <w:bCs/>
          <w:color w:val="000000"/>
          <w:kern w:val="0"/>
          <w:sz w:val="22"/>
          <w:shd w:val="clear" w:color="auto" w:fill="FFFFFF"/>
        </w:rPr>
        <w:t>附件</w:t>
      </w:r>
      <w:r>
        <w:rPr>
          <w:rFonts w:hint="eastAsia" w:ascii="宋体" w:hAnsi="宋体" w:cs="宋体"/>
          <w:b/>
          <w:bCs/>
          <w:color w:val="000000"/>
          <w:kern w:val="0"/>
          <w:sz w:val="22"/>
        </w:rPr>
        <w:t>十六：大件规范及理赔标准补充协议</w:t>
      </w:r>
    </w:p>
    <w:p>
      <w:pPr>
        <w:widowControl/>
        <w:spacing w:before="100" w:beforeAutospacing="1" w:after="120"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shd w:val="clear" w:color="auto" w:fill="FFFFFF"/>
        </w:rPr>
        <w:t>1、服务规范</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2"/>
        </w:rPr>
        <w:t>1.1</w:t>
      </w:r>
      <w:r>
        <w:rPr>
          <w:rFonts w:hint="eastAsia" w:ascii="宋体" w:hAnsi="宋体" w:cs="宋体"/>
          <w:color w:val="000000"/>
          <w:kern w:val="0"/>
          <w:sz w:val="20"/>
          <w:szCs w:val="20"/>
        </w:rPr>
        <w:t>对于预约配送服务，在按预约时间配送上门前，乙方将与消费者进行电话确认预约时间，以保证服务的顺畅，如经收货人确认需要更改配送时间，则乙方以消费者最终确认时间进行配送，最晚改约日期为首次预约日期的90天内；</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1.2对于送货入户服务，乙方承诺对于甲方交付订单提供送货入户服务，但不包含配送禁区（如旅游景区等需要购买门票才能入内的区域、未通公路的离岛等偏远岛屿、发现地址属于国家党政机关、军队、武警等军事管理区、不能配送的公司、学校、海关管辖的特定区域等）；</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1.3对于退供自提服务，甲方指定的提货人收货时，应对货品的数量、型号、外包装进行检验，如货品数量、型号与退供单不符，应当场在签收单上注明，否则视为甲方指定的收货人收到的货品与退供单相符；如甲方指定的收货人收到的货品外包装破损，收货人应拒收，乙方按照主协议的约定向甲方承担相应责任；如货品外包装完好，但货品本身破损、少件，则乙方无需向甲方承担任何赔偿责任；甲方指定的收货人接收了乙方交接的货品，即视为货品外包装完好，异常以交接单备注为准，返回甲方仓库后新增异常与乙方无关；交接单一式两份并双方签字，如有异常则在两份交接单备注，如无备注则默认无异常；</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1.4对于退供到仓服务，甲方指定的收货人收货时，应对货品的数量、型号、外包装进行检验，如货品数量、型号与退供单不符，应在签收单上注明，否则视为甲方指定的收货人收到的货品与退供单相符；如若到仓时间小于当日16点，则当日23点59分完成签收单提供（如有异常则需备注），如若未按时提供签收单，则默认无异常；到仓时间大于当日16点，则次日23点59分完成签收单提供（如有异常则需备注），如若未按时提供交接单，则默认无异常；交接单一式两份并双方签字，如有异常则在两份交接单备注，如无备注则默认无异常；</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1.5对于上门揽收服务，如若不符合揽收标准（附录1《大件产品纯配订单揽收标准》），乙方有权利直接拒揽；</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1.6对于商家自送服务，乙方收货时确保收货型号和采购单型号一致，如收货出现异常（包括但不限于：货品包装破损、缺少附件、型号不符），仓库有权利直接拒收；</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1.7咨询响应、理赔介入及赔付时效说明</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1.7.1咨询响应、理赔响应时效说明</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1.7.1.1乙方承诺热线/在线服务服务时间09:00-18:00；</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1.7.1.2对于甲方在线发起的投诉，由乙方84小时内完成处理，若乙方在规定的时效内确认投诉成立，由乙方根据本协议中投诉赔付标准规定执行；如甲方对乙方处理结果有异议，甲方可在投诉处理完结的15天内向乙方发起申诉，甲方的申诉会由乙方进行处理；如甲方15天内未发起申诉，则视为甲方对乙方的处理无异议，甲方将无权向乙方进行任何索赔，其中部分理赔类型乙方有权根据业务实际情况变更处理流程；</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1.7.1.3于消费者签收后发起的投诉，在货品外包装完整且无明显证据显示为乙方的责任的前提下，乙方将不予赔付；</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1.7.2投诉判定及赔付时效说明</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1.7.2.1为保证投诉的及时处理，异常产生后甲方须在物流订单可发起投诉时效内在对应的物流订单类型下发起投诉；如若未按正确物流订单类型反馈，则乙方有权利不受理；</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1.7.2.2甲方在提交投诉时，需同时提供举证凭证，否则乙方有权判责不成立；</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1.7.2.3责任方免责说明</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(1) 甲方未在约定的时间内发起投诉，造成异常情况无法核实，乙方不承担任何赔偿责任；</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(2) 甲方如出现虚假举证（包括但不限于引导消费者恶意虚假举证、非依据事实恶意举证）等不诚信行为，则自乙方接到甲方虚假举证之日起15个自然日内就甲方在该期间创建的物流订单中，与甲方虚假举证同类的投诉，乙方将不予赔付；</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1.7.2.4 乙方拥有投诉处理阶段最终判断权，甲方对此不持有异议；</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1.8甲方需配合操作说明</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1.8.1甲方需积极及时的解决运输配送过程中的异常情况；</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1.8.2对于甲方、消费者原因导致的订单配送异常（包括但不限于消费者无理由拒收、</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联系不上消费者、消费者电话错误、消费者电话无人接听、消费者收货时间不确定、消费者地址不详细、地址不正确、超过配送范围等），如若末端存储时间&gt;首次预约日期-目的地分拣中心入库日期+免费天数则开始支付服务费用（即免费存储期过后的第1天开始按照以下标准收取增值服务费用）；如若末端存储时间&gt;末次预约日期-目的地分拣中心入库日期+90天则强制退回，甲方需支付正逆向运费，强制退回导致的客诉与乙方无关；</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服务费用=每天费用*收费天数；</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收费天数=暂存天数- 免费天数（非家居：7天免费存储，家居：15天免费存储）</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收费标准：5元/m³/天，最低收费2.5元/票/天；不足一天按照一天计算；</w:t>
      </w:r>
    </w:p>
    <w:p>
      <w:pPr>
        <w:widowControl/>
        <w:spacing w:before="100" w:beforeAutospacing="1" w:after="120"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shd w:val="clear" w:color="auto" w:fill="FFFFFF"/>
        </w:rPr>
        <w:t>2、理赔标准</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2.1如若存在服务时效类、安全类共有的订单场景，则可叠加赔付；</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2.2乙方仅承担因物流服务造成的直接损失，对任何间接的、附带的、衍生的损失（包括但不限于收入或利润损失）不承担任何形式的赔偿责任；</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2.3如乙方按照成交价50%及以上赔付给甲方后，甲方确认相应货品的所有权转移给乙方或乙方指定的第三方；</w:t>
      </w:r>
    </w:p>
    <w:p>
      <w:pPr>
        <w:widowControl/>
        <w:spacing w:before="100" w:beforeAutospacing="1" w:after="100" w:afterAutospacing="1" w:line="360" w:lineRule="atLeast"/>
        <w:jc w:val="left"/>
        <w:rPr>
          <w:rFonts w:ascii="微软雅黑" w:hAnsi="微软雅黑" w:eastAsia="微软雅黑" w:cs="宋体"/>
          <w:color w:val="000000"/>
          <w:kern w:val="0"/>
          <w:sz w:val="27"/>
          <w:szCs w:val="27"/>
        </w:rPr>
      </w:pPr>
      <w:r>
        <w:rPr>
          <w:rFonts w:hint="eastAsia" w:ascii="宋体" w:hAnsi="宋体" w:cs="宋体"/>
          <w:color w:val="000000"/>
          <w:kern w:val="0"/>
          <w:sz w:val="20"/>
          <w:szCs w:val="20"/>
        </w:rPr>
        <w:t>2.4理赔标准详见关联附件，附录2《大件产品理赔规则》；</w:t>
      </w:r>
    </w:p>
    <w:p>
      <w:pPr>
        <w:widowControl/>
        <w:spacing w:before="100" w:beforeAutospacing="1" w:after="100" w:afterAutospacing="1" w:line="360" w:lineRule="atLeast"/>
        <w:jc w:val="left"/>
        <w:rPr>
          <w:rFonts w:ascii="宋体" w:hAnsi="宋体"/>
          <w:sz w:val="23"/>
          <w:szCs w:val="23"/>
        </w:rPr>
      </w:pPr>
      <w:r>
        <w:rPr>
          <w:rFonts w:hint="eastAsia" w:ascii="宋体" w:hAnsi="宋体" w:cs="宋体"/>
          <w:color w:val="000000"/>
          <w:kern w:val="0"/>
          <w:sz w:val="20"/>
          <w:szCs w:val="20"/>
        </w:rPr>
        <w:t>3、本补充协议与主合同约定不一致的，以本补充协议约定为准执行，本协议未约定的事宜仍按照主合同的约定执行。</w:t>
      </w:r>
    </w:p>
    <w:sectPr>
      <w:footerReference r:id="rId6" w:type="first"/>
      <w:footerReference r:id="rId5" w:type="default"/>
      <w:pgSz w:w="11906" w:h="16838"/>
      <w:pgMar w:top="1440" w:right="1800" w:bottom="1440" w:left="1800" w:header="851" w:footer="992" w:gutter="0"/>
      <w:paperSrc/>
      <w:cols w:space="0" w:num="1"/>
      <w:titlePg/>
      <w:rtlGutter w:val="0"/>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张思涵" w:date="2023-11-28T11:17:00Z" w:initials="">
    <w:p w14:paraId="64565E70">
      <w:pPr>
        <w:pStyle w:val="5"/>
      </w:pPr>
      <w:r>
        <w:rPr>
          <w:rFonts w:hint="eastAsia"/>
        </w:rPr>
        <w:t>已删除</w:t>
      </w:r>
    </w:p>
  </w:comment>
  <w:comment w:id="1" w:author="王爽" w:date="2023-10-27T09:45:00Z" w:initials="w">
    <w:p w14:paraId="55CF1D11">
      <w:pPr>
        <w:pStyle w:val="5"/>
      </w:pPr>
      <w:r>
        <w:rPr>
          <w:rFonts w:hint="eastAsia"/>
        </w:rPr>
        <w:t>关联公司是否需要加个定义？（潘婷）</w:t>
      </w:r>
    </w:p>
  </w:comment>
  <w:comment w:id="2" w:author="张思涵" w:date="2023-12-25T16:01:00Z" w:initials="">
    <w:p w14:paraId="6ACA7C37">
      <w:pPr>
        <w:pStyle w:val="5"/>
      </w:pPr>
      <w:r>
        <w:rPr>
          <w:rFonts w:hint="eastAsia"/>
        </w:rPr>
        <w:t>高欣</w:t>
      </w:r>
    </w:p>
  </w:comment>
  <w:comment w:id="3" w:author="高欣" w:date="2023-10-31T14:57:00Z" w:initials="高欣">
    <w:p w14:paraId="55B33E9D">
      <w:pPr>
        <w:pStyle w:val="5"/>
      </w:pPr>
      <w:r>
        <w:rPr>
          <w:rFonts w:hint="eastAsia"/>
        </w:rPr>
        <w:t>1、增加增值服务常见的服务项目</w:t>
      </w:r>
    </w:p>
  </w:comment>
  <w:comment w:id="4" w:author="王爽" w:date="2023-10-18T14:25:00Z" w:initials="w">
    <w:p w14:paraId="532F452F">
      <w:pPr>
        <w:pStyle w:val="5"/>
      </w:pPr>
      <w:r>
        <w:rPr>
          <w:rFonts w:hint="eastAsia"/>
        </w:rPr>
        <w:t>建议此处加上官网的网址信息或链接，以便客户在争议时否认说不知道哪个网站。另外此条建议加粗，用以证明我们明确告知和提示客户注意产品信息在官网上可以查看。</w:t>
      </w:r>
    </w:p>
  </w:comment>
  <w:comment w:id="5" w:author="张思涵" w:date="2023-11-28T11:17:00Z" w:initials="">
    <w:p w14:paraId="527163C5">
      <w:pPr>
        <w:pStyle w:val="5"/>
      </w:pPr>
      <w:r>
        <w:rPr>
          <w:rFonts w:hint="eastAsia"/>
        </w:rPr>
        <w:t>已增加官网服务细则内容</w:t>
      </w:r>
    </w:p>
  </w:comment>
  <w:comment w:id="6" w:author="王爽" w:date="2023-10-27T09:49:00Z" w:initials="w">
    <w:p w14:paraId="155F7495">
      <w:pPr>
        <w:pStyle w:val="5"/>
      </w:pPr>
      <w:r>
        <w:rPr>
          <w:rFonts w:hint="eastAsia"/>
        </w:rPr>
        <w:t>此条建议加粗提示</w:t>
      </w:r>
    </w:p>
  </w:comment>
  <w:comment w:id="7" w:author="王爽" w:date="2023-10-18T14:31:00Z" w:initials="w">
    <w:p w14:paraId="2EC5684F">
      <w:pPr>
        <w:pStyle w:val="5"/>
      </w:pPr>
      <w:r>
        <w:rPr>
          <w:rFonts w:hint="eastAsia"/>
        </w:rPr>
        <w:t>此条建议加粗提示</w:t>
      </w:r>
    </w:p>
  </w:comment>
  <w:comment w:id="8" w:author="王爽" w:date="2023-10-18T14:34:00Z" w:initials="w">
    <w:p w14:paraId="37204002">
      <w:pPr>
        <w:pStyle w:val="5"/>
      </w:pPr>
      <w:r>
        <w:rPr>
          <w:rFonts w:hint="eastAsia"/>
        </w:rPr>
        <w:t>建议加粗，此条为免除、限制对方主要权利的条款。</w:t>
      </w:r>
    </w:p>
  </w:comment>
  <w:comment w:id="9" w:author="王爽" w:date="2023-10-18T14:44:00Z" w:initials="w">
    <w:p w14:paraId="14CC0737">
      <w:pPr>
        <w:pStyle w:val="5"/>
      </w:pPr>
      <w:r>
        <w:rPr>
          <w:rFonts w:hint="eastAsia"/>
        </w:rPr>
        <w:t>建议加粗提示</w:t>
      </w:r>
    </w:p>
  </w:comment>
  <w:comment w:id="11" w:author="王爽" w:date="2023-10-27T14:41:00Z" w:initials="w">
    <w:p w14:paraId="5A9B57ED">
      <w:pPr>
        <w:pStyle w:val="5"/>
      </w:pPr>
      <w:r>
        <w:rPr>
          <w:rFonts w:hint="eastAsia"/>
        </w:rPr>
        <w:t>建议删除共同完成核对和确认增加了我们的义务（刘雅璠）</w:t>
      </w:r>
    </w:p>
  </w:comment>
  <w:comment w:id="10" w:author="王爽" w:date="2023-10-18T14:45:00Z" w:initials="w">
    <w:p w14:paraId="18197F52">
      <w:pPr>
        <w:pStyle w:val="5"/>
      </w:pPr>
      <w:bookmarkStart w:id="7" w:name="_Hlk149146688"/>
      <w:r>
        <w:rPr>
          <w:rFonts w:hint="eastAsia" w:ascii="宋体" w:hAnsi="宋体" w:cs="宋体"/>
          <w:color w:val="000000"/>
          <w:kern w:val="0"/>
          <w:sz w:val="23"/>
          <w:szCs w:val="23"/>
        </w:rPr>
        <w:t>建议加粗提示，增加“通过商家工作台系统或本合同中约定的电子邮箱或短信形式”，</w:t>
      </w:r>
      <w:r>
        <w:rPr>
          <w:rFonts w:hint="eastAsia"/>
        </w:rPr>
        <w:t>关于对账，增加电子邮箱及短信送达账单的方式，同时明确通过商家工作台系统送达（潘婷、沈阳、宋兆源、刘雅璠、王爽）</w:t>
      </w:r>
    </w:p>
    <w:bookmarkEnd w:id="7"/>
  </w:comment>
  <w:comment w:id="12" w:author="王爽" w:date="2023-10-27T09:53:00Z" w:initials="w">
    <w:p w14:paraId="11105171">
      <w:pPr>
        <w:pStyle w:val="5"/>
      </w:pPr>
      <w:r>
        <w:rPr>
          <w:rFonts w:hint="eastAsia"/>
        </w:rPr>
        <w:t>增加“如甲方超过5个自然日未提出异议亦未确认的，视为认可账单金额”（潘婷）</w:t>
      </w:r>
    </w:p>
  </w:comment>
  <w:comment w:id="14" w:author="张思涵" w:date="2024-01-05T11:44:00Z" w:initials="">
    <w:p w14:paraId="3E056B31">
      <w:pPr>
        <w:pStyle w:val="5"/>
      </w:pPr>
      <w:r>
        <w:rPr>
          <w:rFonts w:hint="eastAsia"/>
        </w:rPr>
        <w:t>因未对理赔理赔条款与其他条款做明显区隔，曾有争议被判有责，故申请将理赔条款红字加粗，与友商S</w:t>
      </w:r>
      <w:r>
        <w:t>F</w:t>
      </w:r>
      <w:r>
        <w:rPr>
          <w:rFonts w:hint="eastAsia"/>
        </w:rPr>
        <w:t>一致。（马凤玲）</w:t>
      </w:r>
    </w:p>
  </w:comment>
  <w:comment w:id="15" w:author="张思涵" w:date="2023-12-25T16:01:00Z" w:initials="">
    <w:p w14:paraId="45C75D50">
      <w:pPr>
        <w:pStyle w:val="5"/>
      </w:pPr>
      <w:r>
        <w:rPr>
          <w:rFonts w:hint="eastAsia"/>
        </w:rPr>
        <w:t>高欣</w:t>
      </w:r>
    </w:p>
  </w:comment>
  <w:comment w:id="16" w:author="宋平" w:date="2024-01-03T15:54:00Z" w:initials="s">
    <w:p w14:paraId="60465048">
      <w:pPr>
        <w:pStyle w:val="5"/>
      </w:pPr>
      <w:bookmarkStart w:id="8" w:name="_Hlk155192769"/>
      <w:r>
        <w:rPr>
          <w:rFonts w:hint="eastAsia"/>
        </w:rPr>
        <w:t>经与高欣沟通确认，此部分她会直接修订更新</w:t>
      </w:r>
      <w:bookmarkEnd w:id="8"/>
      <w:r>
        <w:rPr>
          <w:rFonts w:hint="eastAsia"/>
        </w:rPr>
        <w:t>（7</w:t>
      </w:r>
      <w:r>
        <w:t xml:space="preserve">.1.2 </w:t>
      </w:r>
      <w:r>
        <w:rPr>
          <w:rFonts w:hint="eastAsia"/>
        </w:rPr>
        <w:t>、8</w:t>
      </w:r>
      <w:r>
        <w:t>.7</w:t>
      </w:r>
      <w:r>
        <w:rPr>
          <w:rFonts w:hint="eastAsia"/>
        </w:rPr>
        <w:t>）</w:t>
      </w:r>
    </w:p>
  </w:comment>
  <w:comment w:id="17" w:author="张思涵" w:date="2024-01-04T17:02:00Z" w:initials="">
    <w:p w14:paraId="554A7039">
      <w:pPr>
        <w:pStyle w:val="5"/>
      </w:pPr>
      <w:r>
        <w:rPr>
          <w:rFonts w:hint="eastAsia"/>
        </w:rPr>
        <w:t>本条保留（8</w:t>
      </w:r>
      <w:r>
        <w:t>.7</w:t>
      </w:r>
      <w:r>
        <w:rPr>
          <w:rFonts w:hint="eastAsia"/>
        </w:rPr>
        <w:t>删除重复信息）</w:t>
      </w:r>
    </w:p>
  </w:comment>
  <w:comment w:id="18" w:author="张思涵" w:date="2023-12-25T16:02:00Z" w:initials="">
    <w:p w14:paraId="1DC4294F">
      <w:pPr>
        <w:pStyle w:val="5"/>
      </w:pPr>
      <w:r>
        <w:rPr>
          <w:rFonts w:hint="eastAsia"/>
        </w:rPr>
        <w:t>高欣</w:t>
      </w:r>
    </w:p>
  </w:comment>
  <w:comment w:id="19" w:author="王爽" w:date="2023-10-18T14:46:00Z" w:initials="w">
    <w:p w14:paraId="24D14046">
      <w:pPr>
        <w:pStyle w:val="5"/>
      </w:pPr>
      <w:bookmarkStart w:id="9" w:name="_Hlk149147145"/>
      <w:r>
        <w:rPr>
          <w:rFonts w:hint="eastAsia"/>
        </w:rPr>
        <w:t>建议“货物损失比例（实际损失价值/货物实际价值）” 有些法院或者商家总是在这上面有争议</w:t>
      </w:r>
    </w:p>
    <w:p w14:paraId="4DA86FE9">
      <w:pPr>
        <w:pStyle w:val="5"/>
      </w:pPr>
      <w:r>
        <w:rPr>
          <w:rFonts w:hint="eastAsia"/>
        </w:rPr>
        <w:t>对于货物损失比例做一个定义，避免无意义的争议</w:t>
      </w:r>
    </w:p>
    <w:bookmarkEnd w:id="9"/>
  </w:comment>
  <w:comment w:id="20" w:author="张思涵" w:date="2023-11-28T11:20:00Z" w:initials="">
    <w:p w14:paraId="4DFE3BC9">
      <w:pPr>
        <w:pStyle w:val="5"/>
      </w:pPr>
      <w:r>
        <w:rPr>
          <w:rFonts w:hint="eastAsia"/>
        </w:rPr>
        <w:t>增加</w:t>
      </w:r>
    </w:p>
  </w:comment>
  <w:comment w:id="21" w:author="宋平" w:date="2024-01-03T15:55:00Z" w:initials="s">
    <w:p w14:paraId="28B56984">
      <w:pPr>
        <w:pStyle w:val="5"/>
      </w:pPr>
      <w:r>
        <w:rPr>
          <w:rFonts w:hint="eastAsia"/>
        </w:rPr>
        <w:t>请与理赔确认，声明价值与实际价值是否一定一致，不一致怎么处理？</w:t>
      </w:r>
    </w:p>
  </w:comment>
  <w:comment w:id="22" w:author="马凤玲" w:date="2024-01-04T22:03:00Z" w:initials="马凤玲">
    <w:p w14:paraId="32CA5D48">
      <w:pPr>
        <w:pStyle w:val="5"/>
      </w:pPr>
      <w:r>
        <w:rPr>
          <w:rFonts w:hint="eastAsia"/>
        </w:rPr>
        <w:t>取低值</w:t>
      </w:r>
    </w:p>
  </w:comment>
  <w:comment w:id="23" w:author="张思涵" w:date="2023-12-25T15:06:00Z" w:initials="">
    <w:p w14:paraId="1CDB3B80">
      <w:pPr>
        <w:pStyle w:val="5"/>
      </w:pPr>
      <w:r>
        <w:rPr>
          <w:rFonts w:hint="eastAsia"/>
        </w:rPr>
        <w:t>此条款为港澳内容修订内容，已经由何志娥主导完成财税法、理赔审批（曹山和闫琼老师）（李娜）</w:t>
      </w:r>
    </w:p>
  </w:comment>
  <w:comment w:id="13" w:author="王爽" w:date="2023-10-25T17:21:00Z" w:initials="w">
    <w:p w14:paraId="0DC000C6">
      <w:pPr>
        <w:pStyle w:val="5"/>
      </w:pPr>
      <w:r>
        <w:rPr>
          <w:rFonts w:hint="eastAsia"/>
        </w:rPr>
        <w:t>保价及赔付加黑标粗（宋兆源）</w:t>
      </w:r>
    </w:p>
  </w:comment>
  <w:comment w:id="24" w:author="张思涵" w:date="2024-01-11T19:02:00Z" w:initials="">
    <w:p w14:paraId="7F090A93">
      <w:pPr>
        <w:pStyle w:val="5"/>
      </w:pPr>
      <w:r>
        <w:rPr>
          <w:rFonts w:hint="eastAsia"/>
        </w:rPr>
        <w:t>删除（马凤玲）</w:t>
      </w:r>
    </w:p>
  </w:comment>
  <w:comment w:id="25" w:author="张思涵" w:date="2023-11-28T09:54:00Z" w:initials="">
    <w:p w14:paraId="52691E44">
      <w:pPr>
        <w:pStyle w:val="5"/>
      </w:pPr>
      <w:r>
        <w:rPr>
          <w:rFonts w:hint="eastAsia"/>
        </w:rPr>
        <w:t>对原合同条款中关于商家原包出库的商品，外好内破、外好内少乙方免责的内容进行重新说明。（高欣）</w:t>
      </w:r>
    </w:p>
  </w:comment>
  <w:comment w:id="26" w:author="宋平" w:date="2024-01-03T15:59:00Z" w:initials="s">
    <w:p w14:paraId="0F44296C">
      <w:pPr>
        <w:pStyle w:val="5"/>
      </w:pPr>
      <w:r>
        <w:rPr>
          <w:rFonts w:hint="eastAsia"/>
        </w:rPr>
        <w:t>这里修改后其他的仓储外包装完好内物破损怎么适用？请其他产品条线同事确认，</w:t>
      </w:r>
      <w:bookmarkStart w:id="10" w:name="_Hlk155196120"/>
      <w:r>
        <w:rPr>
          <w:rFonts w:hint="eastAsia"/>
        </w:rPr>
        <w:t>同步请理赔同事确认</w:t>
      </w:r>
      <w:bookmarkEnd w:id="10"/>
    </w:p>
  </w:comment>
  <w:comment w:id="27" w:author="张思涵" w:date="2024-01-05T11:45:00Z" w:initials="">
    <w:p w14:paraId="72070D88">
      <w:pPr>
        <w:pStyle w:val="5"/>
      </w:pPr>
      <w:r>
        <w:rPr>
          <w:rFonts w:hint="eastAsia"/>
        </w:rPr>
        <w:t>保留原描述，增加中小件描述（马凤玲）</w:t>
      </w:r>
    </w:p>
  </w:comment>
  <w:comment w:id="28" w:author="王爽" w:date="2023-10-25T17:06:00Z" w:initials="w">
    <w:p w14:paraId="02F61A96">
      <w:pPr>
        <w:pStyle w:val="5"/>
      </w:pPr>
      <w:r>
        <w:rPr>
          <w:rFonts w:hint="eastAsia"/>
        </w:rPr>
        <w:t>建议加粗提示，黄牛账户经常发生，商家总称不知道合同中有此约定</w:t>
      </w:r>
    </w:p>
  </w:comment>
  <w:comment w:id="30" w:author="张思涵" w:date="2024-01-25T20:22:00Z" w:initials="">
    <w:p w14:paraId="5885371D">
      <w:pPr>
        <w:pStyle w:val="5"/>
      </w:pPr>
      <w:r>
        <w:rPr>
          <w:rFonts w:hint="eastAsia"/>
        </w:rPr>
        <w:t>经与王律沟通，系统变量未上线前先从及改成或，并删除邮箱填写模块，系统变量上线后修订为及。</w:t>
      </w:r>
    </w:p>
  </w:comment>
  <w:comment w:id="29" w:author="王爽" w:date="2023-10-25T17:01:00Z" w:initials="w">
    <w:p w14:paraId="098869A0">
      <w:pPr>
        <w:pStyle w:val="5"/>
      </w:pPr>
      <w:r>
        <w:rPr>
          <w:rFonts w:hint="eastAsia"/>
        </w:rPr>
        <w:t>增加约定邮箱或短信送达的条款，并加粗提示</w:t>
      </w:r>
    </w:p>
  </w:comment>
  <w:comment w:id="31" w:author="张思涵" w:date="2023-11-28T11:20:00Z" w:initials="">
    <w:p w14:paraId="35AF569B">
      <w:pPr>
        <w:pStyle w:val="5"/>
      </w:pPr>
      <w:r>
        <w:rPr>
          <w:rFonts w:hint="eastAsia"/>
        </w:rPr>
        <w:t>删除</w:t>
      </w:r>
    </w:p>
  </w:comment>
  <w:comment w:id="32" w:author="王爽" w:date="2023-10-25T17:45:00Z" w:initials="w">
    <w:p w14:paraId="7F321F7B">
      <w:pPr>
        <w:pStyle w:val="5"/>
      </w:pPr>
      <w:r>
        <w:rPr>
          <w:rFonts w:hint="eastAsia"/>
        </w:rPr>
        <w:t>增加异常发货终止合同的条款，建议征询财务和业务在实操中，对于单量暴增、异常等关停的标准，在此条中补充标明。我司因商家单量暴增、异地揽收等异常关停商家账户，但是没有合同依据，此条为增加商家异常行为我司关停账户的合同依据。</w:t>
      </w:r>
    </w:p>
  </w:comment>
  <w:comment w:id="33" w:author="张思涵" w:date="2023-12-25T16:03:00Z" w:initials="">
    <w:p w14:paraId="669F3229">
      <w:pPr>
        <w:pStyle w:val="5"/>
      </w:pPr>
      <w:r>
        <w:rPr>
          <w:rFonts w:hint="eastAsia"/>
        </w:rPr>
        <w:t>马成盼</w:t>
      </w:r>
    </w:p>
  </w:comment>
  <w:comment w:id="34" w:author="张思涵" w:date="2023-12-25T16:03:00Z" w:initials="">
    <w:p w14:paraId="42125623">
      <w:pPr>
        <w:pStyle w:val="5"/>
      </w:pPr>
      <w:r>
        <w:rPr>
          <w:rFonts w:hint="eastAsia"/>
        </w:rPr>
        <w:t>马成盼</w:t>
      </w:r>
    </w:p>
  </w:comment>
  <w:comment w:id="35" w:author="张思涵" w:date="2023-12-25T16:03:00Z" w:initials="">
    <w:p w14:paraId="13776B3F">
      <w:pPr>
        <w:pStyle w:val="5"/>
      </w:pPr>
      <w:r>
        <w:rPr>
          <w:rFonts w:hint="eastAsia"/>
        </w:rPr>
        <w:t>马成盼</w:t>
      </w:r>
    </w:p>
  </w:comment>
  <w:comment w:id="36" w:author="张思涵" w:date="2023-11-28T10:58:00Z" w:initials="">
    <w:p w14:paraId="5D7C2F81">
      <w:pPr>
        <w:pStyle w:val="5"/>
      </w:pPr>
      <w:r>
        <w:rPr>
          <w:rFonts w:hint="eastAsia"/>
        </w:rPr>
        <w:t>冗余条款</w:t>
      </w:r>
    </w:p>
  </w:comment>
  <w:comment w:id="37" w:author="张思涵" w:date="2023-11-28T10:58:00Z" w:initials="">
    <w:p w14:paraId="55564CB1">
      <w:pPr>
        <w:pStyle w:val="5"/>
      </w:pPr>
      <w:r>
        <w:rPr>
          <w:rFonts w:hint="eastAsia"/>
        </w:rPr>
        <w:t>冗余条款</w:t>
      </w:r>
    </w:p>
  </w:comment>
  <w:comment w:id="38" w:author="张思涵" w:date="2023-11-28T10:03:00Z" w:initials="">
    <w:p w14:paraId="7F923391">
      <w:pPr>
        <w:pStyle w:val="5"/>
      </w:pPr>
      <w:r>
        <w:rPr>
          <w:rFonts w:hint="eastAsia"/>
        </w:rPr>
        <w:t>与官网完全一致予以删除（马成盼）</w:t>
      </w:r>
    </w:p>
  </w:comment>
  <w:comment w:id="39" w:author="张思涵" w:date="2023-11-30T11:58:00Z" w:initials="">
    <w:p w14:paraId="788439E9">
      <w:pPr>
        <w:pStyle w:val="5"/>
      </w:pPr>
      <w:r>
        <w:rPr>
          <w:rFonts w:hint="eastAsia"/>
        </w:rPr>
        <w:t>删除（黄金山）</w:t>
      </w:r>
    </w:p>
  </w:comment>
  <w:comment w:id="40" w:author="张思涵" w:date="2024-01-24T11:03:00Z" w:initials="">
    <w:p w14:paraId="6D1459C0">
      <w:pPr>
        <w:pStyle w:val="5"/>
      </w:pPr>
      <w:r>
        <w:rPr>
          <w:rFonts w:hint="eastAsia"/>
        </w:rPr>
        <w:t>删除（焦中乐）</w:t>
      </w:r>
    </w:p>
  </w:comment>
  <w:comment w:id="41" w:author="张思涵" w:date="2023-12-25T16:04:00Z" w:initials="">
    <w:p w14:paraId="2EF02373">
      <w:pPr>
        <w:pStyle w:val="5"/>
      </w:pPr>
      <w:r>
        <w:rPr>
          <w:rFonts w:hint="eastAsia"/>
        </w:rPr>
        <w:t>删除（马成盼）</w:t>
      </w:r>
    </w:p>
  </w:comment>
  <w:comment w:id="42" w:author="张思涵" w:date="2023-12-25T16:04:00Z" w:initials="">
    <w:p w14:paraId="67794198">
      <w:pPr>
        <w:pStyle w:val="5"/>
      </w:pPr>
      <w:r>
        <w:rPr>
          <w:rFonts w:hint="eastAsia"/>
        </w:rPr>
        <w:t>删除（马成盼）</w:t>
      </w:r>
    </w:p>
  </w:comment>
  <w:comment w:id="43" w:author="张思涵" w:date="2023-12-25T15:15:00Z" w:initials="">
    <w:p w14:paraId="46DD24C0">
      <w:pPr>
        <w:pStyle w:val="5"/>
      </w:pPr>
      <w:r>
        <w:rPr>
          <w:rFonts w:hint="eastAsia"/>
        </w:rPr>
        <w:t>删除价格部分，其他保留（马成盼）</w:t>
      </w:r>
    </w:p>
  </w:comment>
  <w:comment w:id="44" w:author="张思涵" w:date="2024-01-17T10:26:00Z" w:initials="">
    <w:p w14:paraId="393E5E9E">
      <w:pPr>
        <w:pStyle w:val="5"/>
      </w:pPr>
      <w:r>
        <w:rPr>
          <w:rFonts w:hint="eastAsia"/>
        </w:rPr>
        <w:t>增加医药赔付时效与免责（刘董旭）已由财税法审批完成</w:t>
      </w:r>
    </w:p>
  </w:comment>
  <w:comment w:id="45" w:author="张思涵" w:date="2023-12-25T15:14:00Z" w:initials="">
    <w:p w14:paraId="39D82F23">
      <w:pPr>
        <w:pStyle w:val="5"/>
      </w:pPr>
      <w:r>
        <w:rPr>
          <w:rFonts w:hint="eastAsia"/>
        </w:rPr>
        <w:t>附件十五价格部分可以放官网，其余保留（马成盼）</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4565E70" w15:done="0"/>
  <w15:commentEx w15:paraId="55CF1D11" w15:done="0"/>
  <w15:commentEx w15:paraId="6ACA7C37" w15:done="0"/>
  <w15:commentEx w15:paraId="55B33E9D" w15:done="0"/>
  <w15:commentEx w15:paraId="532F452F" w15:done="0"/>
  <w15:commentEx w15:paraId="527163C5" w15:done="0" w15:paraIdParent="532F452F"/>
  <w15:commentEx w15:paraId="155F7495" w15:done="0"/>
  <w15:commentEx w15:paraId="2EC5684F" w15:done="0"/>
  <w15:commentEx w15:paraId="37204002" w15:done="0"/>
  <w15:commentEx w15:paraId="14CC0737" w15:done="0"/>
  <w15:commentEx w15:paraId="5A9B57ED" w15:done="0"/>
  <w15:commentEx w15:paraId="18197F52" w15:done="0"/>
  <w15:commentEx w15:paraId="11105171" w15:done="0"/>
  <w15:commentEx w15:paraId="3E056B31" w15:done="0"/>
  <w15:commentEx w15:paraId="45C75D50" w15:done="0"/>
  <w15:commentEx w15:paraId="60465048" w15:done="0" w15:paraIdParent="45C75D50"/>
  <w15:commentEx w15:paraId="554A7039" w15:done="0" w15:paraIdParent="45C75D50"/>
  <w15:commentEx w15:paraId="1DC4294F" w15:done="0"/>
  <w15:commentEx w15:paraId="4DA86FE9" w15:done="0"/>
  <w15:commentEx w15:paraId="4DFE3BC9" w15:done="0" w15:paraIdParent="4DA86FE9"/>
  <w15:commentEx w15:paraId="28B56984" w15:done="0" w15:paraIdParent="4DA86FE9"/>
  <w15:commentEx w15:paraId="32CA5D48" w15:done="0" w15:paraIdParent="4DA86FE9"/>
  <w15:commentEx w15:paraId="1CDB3B80" w15:done="0"/>
  <w15:commentEx w15:paraId="0DC000C6" w15:done="0"/>
  <w15:commentEx w15:paraId="7F090A93" w15:done="0"/>
  <w15:commentEx w15:paraId="52691E44" w15:done="0"/>
  <w15:commentEx w15:paraId="0F44296C" w15:done="0" w15:paraIdParent="52691E44"/>
  <w15:commentEx w15:paraId="72070D88" w15:done="0" w15:paraIdParent="52691E44"/>
  <w15:commentEx w15:paraId="02F61A96" w15:done="0"/>
  <w15:commentEx w15:paraId="5885371D" w15:done="0"/>
  <w15:commentEx w15:paraId="098869A0" w15:done="0"/>
  <w15:commentEx w15:paraId="35AF569B" w15:done="0" w15:paraIdParent="5885371D"/>
  <w15:commentEx w15:paraId="7F321F7B" w15:done="0"/>
  <w15:commentEx w15:paraId="669F3229" w15:done="0"/>
  <w15:commentEx w15:paraId="42125623" w15:done="0"/>
  <w15:commentEx w15:paraId="13776B3F" w15:done="0"/>
  <w15:commentEx w15:paraId="5D7C2F81" w15:done="0"/>
  <w15:commentEx w15:paraId="55564CB1" w15:done="0"/>
  <w15:commentEx w15:paraId="7F923391" w15:done="0"/>
  <w15:commentEx w15:paraId="788439E9" w15:done="0"/>
  <w15:commentEx w15:paraId="6D1459C0" w15:done="0"/>
  <w15:commentEx w15:paraId="2EF02373" w15:done="0"/>
  <w15:commentEx w15:paraId="67794198" w15:done="0"/>
  <w15:commentEx w15:paraId="46DD24C0" w15:done="0"/>
  <w15:commentEx w15:paraId="393E5E9E" w15:done="0"/>
  <w15:commentEx w15:paraId="39D82F2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6615273"/>
    </w:sdtPr>
    <w:sdtEndPr>
      <w:rPr>
        <w:rFonts w:ascii="仿宋" w:hAnsi="仿宋" w:eastAsia="仿宋"/>
      </w:rPr>
    </w:sdtEndPr>
    <w:sdtContent>
      <w:sdt>
        <w:sdtPr>
          <w:id w:val="-1705238520"/>
        </w:sdtPr>
        <w:sdtEndPr>
          <w:rPr>
            <w:rFonts w:ascii="仿宋" w:hAnsi="仿宋" w:eastAsia="仿宋"/>
          </w:rPr>
        </w:sdtEndPr>
        <w:sdtContent>
          <w:p>
            <w:pPr>
              <w:pStyle w:val="13"/>
              <w:jc w:val="center"/>
              <w:rPr>
                <w:rFonts w:ascii="仿宋" w:hAnsi="仿宋" w:eastAsia="仿宋"/>
              </w:rPr>
            </w:pPr>
            <w:r>
              <w:rPr>
                <w:rFonts w:ascii="仿宋" w:hAnsi="仿宋" w:eastAsia="仿宋"/>
              </w:rPr>
              <w:t xml:space="preserve"> </w:t>
            </w:r>
            <w:r>
              <w:rPr>
                <w:rFonts w:ascii="仿宋" w:hAnsi="仿宋" w:eastAsia="仿宋"/>
                <w:b/>
                <w:bCs/>
              </w:rPr>
              <w:fldChar w:fldCharType="begin"/>
            </w:r>
            <w:r>
              <w:rPr>
                <w:rFonts w:ascii="仿宋" w:hAnsi="仿宋" w:eastAsia="仿宋"/>
                <w:b/>
                <w:bCs/>
              </w:rPr>
              <w:instrText xml:space="preserve">PAGE</w:instrText>
            </w:r>
            <w:r>
              <w:rPr>
                <w:rFonts w:ascii="仿宋" w:hAnsi="仿宋" w:eastAsia="仿宋"/>
                <w:b/>
                <w:bCs/>
              </w:rPr>
              <w:fldChar w:fldCharType="separate"/>
            </w:r>
            <w:r>
              <w:rPr>
                <w:rFonts w:ascii="仿宋" w:hAnsi="仿宋" w:eastAsia="仿宋"/>
                <w:b/>
                <w:bCs/>
              </w:rPr>
              <w:t>46</w:t>
            </w:r>
            <w:r>
              <w:rPr>
                <w:rFonts w:ascii="仿宋" w:hAnsi="仿宋" w:eastAsia="仿宋"/>
                <w:b/>
                <w:bCs/>
              </w:rPr>
              <w:fldChar w:fldCharType="end"/>
            </w:r>
            <w:r>
              <w:rPr>
                <w:rFonts w:ascii="仿宋" w:hAnsi="仿宋" w:eastAsia="仿宋"/>
              </w:rPr>
              <w:t xml:space="preserve"> / </w:t>
            </w:r>
            <w:r>
              <w:rPr>
                <w:rFonts w:ascii="仿宋" w:hAnsi="仿宋" w:eastAsia="仿宋"/>
                <w:b/>
                <w:bCs/>
              </w:rPr>
              <w:fldChar w:fldCharType="begin"/>
            </w:r>
            <w:r>
              <w:rPr>
                <w:rFonts w:ascii="仿宋" w:hAnsi="仿宋" w:eastAsia="仿宋"/>
                <w:b/>
                <w:bCs/>
              </w:rPr>
              <w:instrText xml:space="preserve">NUMPAGES</w:instrText>
            </w:r>
            <w:r>
              <w:rPr>
                <w:rFonts w:ascii="仿宋" w:hAnsi="仿宋" w:eastAsia="仿宋"/>
                <w:b/>
                <w:bCs/>
              </w:rPr>
              <w:fldChar w:fldCharType="separate"/>
            </w:r>
            <w:r>
              <w:rPr>
                <w:rFonts w:ascii="仿宋" w:hAnsi="仿宋" w:eastAsia="仿宋"/>
                <w:b/>
                <w:bCs/>
              </w:rPr>
              <w:t>46</w:t>
            </w:r>
            <w:r>
              <w:rPr>
                <w:rFonts w:ascii="仿宋" w:hAnsi="仿宋" w:eastAsia="仿宋"/>
                <w:b/>
                <w:bCs/>
              </w:rPr>
              <w:fldChar w:fldCharType="end"/>
            </w:r>
          </w:p>
        </w:sdtContent>
      </w:sdt>
    </w:sdtContent>
  </w:sdt>
  <w:p>
    <w:pPr>
      <w:pStyle w:val="1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7121198"/>
    </w:sdtPr>
    <w:sdtContent>
      <w:sdt>
        <w:sdtPr>
          <w:id w:val="1344204550"/>
        </w:sdtPr>
        <w:sdtContent>
          <w:p>
            <w:pPr>
              <w:pStyle w:val="13"/>
              <w:jc w:val="center"/>
            </w:pPr>
            <w:r>
              <w:rPr>
                <w:rFonts w:ascii="Times New Roman" w:hAnsi="Times New Roman"/>
              </w:rPr>
              <w:t xml:space="preserve"> </w:t>
            </w:r>
            <w:r>
              <w:rPr>
                <w:rFonts w:ascii="Times New Roman" w:hAnsi="Times New Roman"/>
                <w:b/>
                <w:bCs/>
                <w:sz w:val="24"/>
                <w:szCs w:val="24"/>
              </w:rPr>
              <w:fldChar w:fldCharType="begin"/>
            </w:r>
            <w:r>
              <w:rPr>
                <w:rFonts w:ascii="Times New Roman" w:hAnsi="Times New Roman"/>
                <w:b/>
                <w:bCs/>
              </w:rPr>
              <w:instrText xml:space="preserve">PAGE</w:instrText>
            </w:r>
            <w:r>
              <w:rPr>
                <w:rFonts w:ascii="Times New Roman" w:hAnsi="Times New Roman"/>
                <w:b/>
                <w:bCs/>
                <w:sz w:val="24"/>
                <w:szCs w:val="24"/>
              </w:rPr>
              <w:fldChar w:fldCharType="separate"/>
            </w:r>
            <w:r>
              <w:rPr>
                <w:rFonts w:ascii="Times New Roman" w:hAnsi="Times New Roman"/>
                <w:b/>
                <w:bCs/>
              </w:rPr>
              <w:t>1</w:t>
            </w:r>
            <w:r>
              <w:rPr>
                <w:rFonts w:ascii="Times New Roman" w:hAnsi="Times New Roman"/>
                <w:b/>
                <w:bCs/>
                <w:sz w:val="24"/>
                <w:szCs w:val="24"/>
              </w:rPr>
              <w:fldChar w:fldCharType="end"/>
            </w:r>
            <w:r>
              <w:rPr>
                <w:rFonts w:ascii="Times New Roman" w:hAnsi="Times New Roman"/>
              </w:rPr>
              <w:t xml:space="preserve"> / </w:t>
            </w:r>
            <w:r>
              <w:rPr>
                <w:rFonts w:ascii="Times New Roman" w:hAnsi="Times New Roman"/>
                <w:b/>
                <w:bCs/>
                <w:sz w:val="24"/>
                <w:szCs w:val="24"/>
              </w:rPr>
              <w:fldChar w:fldCharType="begin"/>
            </w:r>
            <w:r>
              <w:rPr>
                <w:rFonts w:ascii="Times New Roman" w:hAnsi="Times New Roman"/>
                <w:b/>
                <w:bCs/>
              </w:rPr>
              <w:instrText xml:space="preserve">NUMPAGES</w:instrText>
            </w:r>
            <w:r>
              <w:rPr>
                <w:rFonts w:ascii="Times New Roman" w:hAnsi="Times New Roman"/>
                <w:b/>
                <w:bCs/>
                <w:sz w:val="24"/>
                <w:szCs w:val="24"/>
              </w:rPr>
              <w:fldChar w:fldCharType="separate"/>
            </w:r>
            <w:r>
              <w:rPr>
                <w:rFonts w:ascii="Times New Roman" w:hAnsi="Times New Roman"/>
                <w:b/>
                <w:bCs/>
              </w:rPr>
              <w:t>46</w:t>
            </w:r>
            <w:r>
              <w:rPr>
                <w:rFonts w:ascii="Times New Roman" w:hAnsi="Times New Roman"/>
                <w:b/>
                <w:bCs/>
                <w:sz w:val="24"/>
                <w:szCs w:val="24"/>
              </w:rPr>
              <w:fldChar w:fldCharType="end"/>
            </w:r>
          </w:p>
        </w:sdtContent>
      </w:sdt>
    </w:sdtContent>
  </w:sdt>
  <w:p>
    <w:pPr>
      <w:pStyle w:val="13"/>
    </w:pPr>
  </w:p>
</w:ft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张思涵">
    <w15:presenceInfo w15:providerId="AD" w15:userId="S-1-5-21-1713849901-2797640346-4150151575-1229924"/>
  </w15:person>
  <w15:person w15:author="王爽">
    <w15:presenceInfo w15:providerId="AD" w15:userId="S-1-5-21-1713849901-2797640346-4150151575-1656088"/>
  </w15:person>
  <w15:person w15:author="高欣">
    <w15:presenceInfo w15:providerId="AD" w15:userId="S-1-5-21-1713849901-2797640346-4150151575-962938"/>
  </w15:person>
  <w15:person w15:author="宋平">
    <w15:presenceInfo w15:providerId="AD" w15:userId="S-1-5-21-1713849901-2797640346-4150151575-1540812"/>
  </w15:person>
  <w15:person w15:author="马凤玲">
    <w15:presenceInfo w15:providerId="AD" w15:userId="S-1-5-21-1713849901-2797640346-4150151575-7127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40"/>
  <w:bordersDoNotSurroundHeader w:val="1"/>
  <w:bordersDoNotSurroundFooter w:val="1"/>
  <w:revisionView w:markup="0"/>
  <w:documentProtection w:enforcement="0"/>
  <w:defaultTabStop w:val="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JkZjQ0NDFjZTU5YjI4MzA2MDg3NWE5YmFkYzcxM2EifQ=="/>
  </w:docVars>
  <w:rsids>
    <w:rsidRoot w:val="00172A27"/>
    <w:rsid w:val="00000295"/>
    <w:rsid w:val="000003CA"/>
    <w:rsid w:val="000005AE"/>
    <w:rsid w:val="00000E9E"/>
    <w:rsid w:val="0000135A"/>
    <w:rsid w:val="00001ED1"/>
    <w:rsid w:val="00002FA1"/>
    <w:rsid w:val="0000305C"/>
    <w:rsid w:val="00003C28"/>
    <w:rsid w:val="00003D83"/>
    <w:rsid w:val="00003EA5"/>
    <w:rsid w:val="00004429"/>
    <w:rsid w:val="00004FBF"/>
    <w:rsid w:val="00005AA5"/>
    <w:rsid w:val="00006068"/>
    <w:rsid w:val="000074C1"/>
    <w:rsid w:val="00007993"/>
    <w:rsid w:val="000106A2"/>
    <w:rsid w:val="0001098D"/>
    <w:rsid w:val="0001105E"/>
    <w:rsid w:val="000130B4"/>
    <w:rsid w:val="000133FE"/>
    <w:rsid w:val="0001686C"/>
    <w:rsid w:val="000169EF"/>
    <w:rsid w:val="00016D1D"/>
    <w:rsid w:val="00020B0D"/>
    <w:rsid w:val="00020B5B"/>
    <w:rsid w:val="00020D93"/>
    <w:rsid w:val="00021CFE"/>
    <w:rsid w:val="00022385"/>
    <w:rsid w:val="00022C39"/>
    <w:rsid w:val="00022CCD"/>
    <w:rsid w:val="00022F23"/>
    <w:rsid w:val="00023C9A"/>
    <w:rsid w:val="00023CB7"/>
    <w:rsid w:val="000243EE"/>
    <w:rsid w:val="00024484"/>
    <w:rsid w:val="00024F84"/>
    <w:rsid w:val="0002527B"/>
    <w:rsid w:val="000253F0"/>
    <w:rsid w:val="000255EF"/>
    <w:rsid w:val="0002596B"/>
    <w:rsid w:val="00025AA5"/>
    <w:rsid w:val="00025D76"/>
    <w:rsid w:val="00025DB4"/>
    <w:rsid w:val="00025FB1"/>
    <w:rsid w:val="000262F0"/>
    <w:rsid w:val="00026919"/>
    <w:rsid w:val="000269EC"/>
    <w:rsid w:val="00027E4D"/>
    <w:rsid w:val="00027F8C"/>
    <w:rsid w:val="00027FEA"/>
    <w:rsid w:val="0003051A"/>
    <w:rsid w:val="000306B1"/>
    <w:rsid w:val="000313C8"/>
    <w:rsid w:val="00032AF2"/>
    <w:rsid w:val="000332DD"/>
    <w:rsid w:val="00033595"/>
    <w:rsid w:val="00033E3E"/>
    <w:rsid w:val="000341E5"/>
    <w:rsid w:val="00034379"/>
    <w:rsid w:val="0003522E"/>
    <w:rsid w:val="00035337"/>
    <w:rsid w:val="00035951"/>
    <w:rsid w:val="00035F72"/>
    <w:rsid w:val="000361AB"/>
    <w:rsid w:val="000365E2"/>
    <w:rsid w:val="00037B92"/>
    <w:rsid w:val="00040046"/>
    <w:rsid w:val="000405C6"/>
    <w:rsid w:val="00041935"/>
    <w:rsid w:val="000419D5"/>
    <w:rsid w:val="000436EC"/>
    <w:rsid w:val="00044154"/>
    <w:rsid w:val="00044BAA"/>
    <w:rsid w:val="00044DFE"/>
    <w:rsid w:val="000454F4"/>
    <w:rsid w:val="000459C5"/>
    <w:rsid w:val="0004679D"/>
    <w:rsid w:val="00046D9F"/>
    <w:rsid w:val="000479D0"/>
    <w:rsid w:val="00050308"/>
    <w:rsid w:val="000503EA"/>
    <w:rsid w:val="00050957"/>
    <w:rsid w:val="00051E59"/>
    <w:rsid w:val="0005239E"/>
    <w:rsid w:val="00052458"/>
    <w:rsid w:val="00053BBE"/>
    <w:rsid w:val="00056173"/>
    <w:rsid w:val="00056719"/>
    <w:rsid w:val="00056866"/>
    <w:rsid w:val="00056D19"/>
    <w:rsid w:val="00057C5C"/>
    <w:rsid w:val="000607B0"/>
    <w:rsid w:val="00060E53"/>
    <w:rsid w:val="000616ED"/>
    <w:rsid w:val="00062194"/>
    <w:rsid w:val="000632D0"/>
    <w:rsid w:val="00063590"/>
    <w:rsid w:val="0006359D"/>
    <w:rsid w:val="0006363B"/>
    <w:rsid w:val="0006367C"/>
    <w:rsid w:val="00063D08"/>
    <w:rsid w:val="00064194"/>
    <w:rsid w:val="0006459A"/>
    <w:rsid w:val="00064762"/>
    <w:rsid w:val="00064869"/>
    <w:rsid w:val="00065892"/>
    <w:rsid w:val="00065D77"/>
    <w:rsid w:val="0006661F"/>
    <w:rsid w:val="00066F5E"/>
    <w:rsid w:val="00067502"/>
    <w:rsid w:val="00067CD2"/>
    <w:rsid w:val="0007035F"/>
    <w:rsid w:val="000706D9"/>
    <w:rsid w:val="00072AD6"/>
    <w:rsid w:val="00073082"/>
    <w:rsid w:val="000732A4"/>
    <w:rsid w:val="000739FF"/>
    <w:rsid w:val="00073FD3"/>
    <w:rsid w:val="000746A5"/>
    <w:rsid w:val="00074741"/>
    <w:rsid w:val="00074B55"/>
    <w:rsid w:val="00075A2F"/>
    <w:rsid w:val="00075A7C"/>
    <w:rsid w:val="000761A4"/>
    <w:rsid w:val="0007698F"/>
    <w:rsid w:val="000772C1"/>
    <w:rsid w:val="00080148"/>
    <w:rsid w:val="00080A37"/>
    <w:rsid w:val="000814CF"/>
    <w:rsid w:val="000821CB"/>
    <w:rsid w:val="0008268A"/>
    <w:rsid w:val="00082BC9"/>
    <w:rsid w:val="00083FB6"/>
    <w:rsid w:val="000845B5"/>
    <w:rsid w:val="00084AA4"/>
    <w:rsid w:val="00084BCC"/>
    <w:rsid w:val="000850C0"/>
    <w:rsid w:val="00085B79"/>
    <w:rsid w:val="00085CBA"/>
    <w:rsid w:val="00086231"/>
    <w:rsid w:val="000864D3"/>
    <w:rsid w:val="00086679"/>
    <w:rsid w:val="00086A9B"/>
    <w:rsid w:val="00087007"/>
    <w:rsid w:val="00087330"/>
    <w:rsid w:val="00087A75"/>
    <w:rsid w:val="00090015"/>
    <w:rsid w:val="000901F5"/>
    <w:rsid w:val="00091A1B"/>
    <w:rsid w:val="00093475"/>
    <w:rsid w:val="00093505"/>
    <w:rsid w:val="00093C8F"/>
    <w:rsid w:val="0009445A"/>
    <w:rsid w:val="00094CAE"/>
    <w:rsid w:val="0009749C"/>
    <w:rsid w:val="000976CF"/>
    <w:rsid w:val="000A01EA"/>
    <w:rsid w:val="000A01F3"/>
    <w:rsid w:val="000A03E8"/>
    <w:rsid w:val="000A0A7C"/>
    <w:rsid w:val="000A1C20"/>
    <w:rsid w:val="000A1E5F"/>
    <w:rsid w:val="000A21E8"/>
    <w:rsid w:val="000A2269"/>
    <w:rsid w:val="000A343B"/>
    <w:rsid w:val="000A36E6"/>
    <w:rsid w:val="000A4D90"/>
    <w:rsid w:val="000A511A"/>
    <w:rsid w:val="000A554E"/>
    <w:rsid w:val="000A5BF0"/>
    <w:rsid w:val="000A5C31"/>
    <w:rsid w:val="000A64E9"/>
    <w:rsid w:val="000A7D8C"/>
    <w:rsid w:val="000B1921"/>
    <w:rsid w:val="000B19FF"/>
    <w:rsid w:val="000B2331"/>
    <w:rsid w:val="000B2BCA"/>
    <w:rsid w:val="000B4AEE"/>
    <w:rsid w:val="000B5300"/>
    <w:rsid w:val="000B53A7"/>
    <w:rsid w:val="000B68EB"/>
    <w:rsid w:val="000B7CBA"/>
    <w:rsid w:val="000C060B"/>
    <w:rsid w:val="000C069F"/>
    <w:rsid w:val="000C16F2"/>
    <w:rsid w:val="000C37C4"/>
    <w:rsid w:val="000C3B4A"/>
    <w:rsid w:val="000C3D4D"/>
    <w:rsid w:val="000C6129"/>
    <w:rsid w:val="000C6314"/>
    <w:rsid w:val="000C6FC7"/>
    <w:rsid w:val="000C787F"/>
    <w:rsid w:val="000C7F98"/>
    <w:rsid w:val="000D0223"/>
    <w:rsid w:val="000D05E4"/>
    <w:rsid w:val="000D07BD"/>
    <w:rsid w:val="000D0CDC"/>
    <w:rsid w:val="000D1562"/>
    <w:rsid w:val="000D182C"/>
    <w:rsid w:val="000D1D63"/>
    <w:rsid w:val="000D236C"/>
    <w:rsid w:val="000D2A90"/>
    <w:rsid w:val="000D3BCE"/>
    <w:rsid w:val="000D4E52"/>
    <w:rsid w:val="000D600D"/>
    <w:rsid w:val="000D62A0"/>
    <w:rsid w:val="000D7CBD"/>
    <w:rsid w:val="000E0150"/>
    <w:rsid w:val="000E1369"/>
    <w:rsid w:val="000E1998"/>
    <w:rsid w:val="000E2081"/>
    <w:rsid w:val="000E22F1"/>
    <w:rsid w:val="000E2CB2"/>
    <w:rsid w:val="000E3027"/>
    <w:rsid w:val="000E312C"/>
    <w:rsid w:val="000E3333"/>
    <w:rsid w:val="000E3DF9"/>
    <w:rsid w:val="000E4307"/>
    <w:rsid w:val="000E475E"/>
    <w:rsid w:val="000E4AED"/>
    <w:rsid w:val="000E4D0C"/>
    <w:rsid w:val="000E4EE2"/>
    <w:rsid w:val="000E50EE"/>
    <w:rsid w:val="000E6664"/>
    <w:rsid w:val="000E679B"/>
    <w:rsid w:val="000E78B5"/>
    <w:rsid w:val="000F0204"/>
    <w:rsid w:val="000F2256"/>
    <w:rsid w:val="000F29EE"/>
    <w:rsid w:val="000F3164"/>
    <w:rsid w:val="000F3AF9"/>
    <w:rsid w:val="000F3F28"/>
    <w:rsid w:val="000F41E5"/>
    <w:rsid w:val="000F47B6"/>
    <w:rsid w:val="000F4BA4"/>
    <w:rsid w:val="000F5098"/>
    <w:rsid w:val="000F5E37"/>
    <w:rsid w:val="000F6650"/>
    <w:rsid w:val="000F6A17"/>
    <w:rsid w:val="000F7362"/>
    <w:rsid w:val="000F73EE"/>
    <w:rsid w:val="00101AA3"/>
    <w:rsid w:val="001037D7"/>
    <w:rsid w:val="001037F0"/>
    <w:rsid w:val="00103DC9"/>
    <w:rsid w:val="00103E7B"/>
    <w:rsid w:val="00104815"/>
    <w:rsid w:val="00104C25"/>
    <w:rsid w:val="001050FA"/>
    <w:rsid w:val="001050FE"/>
    <w:rsid w:val="001052AB"/>
    <w:rsid w:val="00105321"/>
    <w:rsid w:val="001053DA"/>
    <w:rsid w:val="0010686C"/>
    <w:rsid w:val="00106C19"/>
    <w:rsid w:val="00107453"/>
    <w:rsid w:val="001074F8"/>
    <w:rsid w:val="001075D9"/>
    <w:rsid w:val="00107D04"/>
    <w:rsid w:val="0011024F"/>
    <w:rsid w:val="001102D5"/>
    <w:rsid w:val="00110E8A"/>
    <w:rsid w:val="00111153"/>
    <w:rsid w:val="001112CD"/>
    <w:rsid w:val="001116F4"/>
    <w:rsid w:val="00112131"/>
    <w:rsid w:val="0011279B"/>
    <w:rsid w:val="00113FD8"/>
    <w:rsid w:val="001140D2"/>
    <w:rsid w:val="0011451B"/>
    <w:rsid w:val="00115B3F"/>
    <w:rsid w:val="00116412"/>
    <w:rsid w:val="0011771C"/>
    <w:rsid w:val="00117BE6"/>
    <w:rsid w:val="0012144E"/>
    <w:rsid w:val="0012150B"/>
    <w:rsid w:val="001216F2"/>
    <w:rsid w:val="00121842"/>
    <w:rsid w:val="00121A51"/>
    <w:rsid w:val="001221BB"/>
    <w:rsid w:val="001234B0"/>
    <w:rsid w:val="0012395C"/>
    <w:rsid w:val="00123FDA"/>
    <w:rsid w:val="001240C7"/>
    <w:rsid w:val="00124111"/>
    <w:rsid w:val="00125360"/>
    <w:rsid w:val="00125EC9"/>
    <w:rsid w:val="001263B4"/>
    <w:rsid w:val="001269ED"/>
    <w:rsid w:val="001276D4"/>
    <w:rsid w:val="001302CA"/>
    <w:rsid w:val="00131444"/>
    <w:rsid w:val="00131B17"/>
    <w:rsid w:val="0013311C"/>
    <w:rsid w:val="00133238"/>
    <w:rsid w:val="001338F8"/>
    <w:rsid w:val="00134B74"/>
    <w:rsid w:val="00135192"/>
    <w:rsid w:val="001352F4"/>
    <w:rsid w:val="001353B0"/>
    <w:rsid w:val="0013573E"/>
    <w:rsid w:val="00135C53"/>
    <w:rsid w:val="00137976"/>
    <w:rsid w:val="001401D4"/>
    <w:rsid w:val="001413A5"/>
    <w:rsid w:val="00141786"/>
    <w:rsid w:val="00142099"/>
    <w:rsid w:val="00142668"/>
    <w:rsid w:val="00142B89"/>
    <w:rsid w:val="001441E0"/>
    <w:rsid w:val="00144346"/>
    <w:rsid w:val="001444A8"/>
    <w:rsid w:val="00144AE3"/>
    <w:rsid w:val="00145E96"/>
    <w:rsid w:val="0014664E"/>
    <w:rsid w:val="001466A1"/>
    <w:rsid w:val="001469C4"/>
    <w:rsid w:val="001469F6"/>
    <w:rsid w:val="00147F21"/>
    <w:rsid w:val="00147F90"/>
    <w:rsid w:val="001501A3"/>
    <w:rsid w:val="001508AE"/>
    <w:rsid w:val="00152017"/>
    <w:rsid w:val="0015202D"/>
    <w:rsid w:val="001543A2"/>
    <w:rsid w:val="00154FCA"/>
    <w:rsid w:val="00156027"/>
    <w:rsid w:val="001571E7"/>
    <w:rsid w:val="00157351"/>
    <w:rsid w:val="001574E4"/>
    <w:rsid w:val="00157858"/>
    <w:rsid w:val="00157FAD"/>
    <w:rsid w:val="00160383"/>
    <w:rsid w:val="00160428"/>
    <w:rsid w:val="00160726"/>
    <w:rsid w:val="00161305"/>
    <w:rsid w:val="001614E5"/>
    <w:rsid w:val="00162A39"/>
    <w:rsid w:val="0016403B"/>
    <w:rsid w:val="00165149"/>
    <w:rsid w:val="001652F2"/>
    <w:rsid w:val="00165A0C"/>
    <w:rsid w:val="00166787"/>
    <w:rsid w:val="00167916"/>
    <w:rsid w:val="00170816"/>
    <w:rsid w:val="00170B0D"/>
    <w:rsid w:val="00172A27"/>
    <w:rsid w:val="00172F74"/>
    <w:rsid w:val="00172F8D"/>
    <w:rsid w:val="00173440"/>
    <w:rsid w:val="00174825"/>
    <w:rsid w:val="00174EA7"/>
    <w:rsid w:val="00174FA9"/>
    <w:rsid w:val="00175968"/>
    <w:rsid w:val="001759E0"/>
    <w:rsid w:val="0017661A"/>
    <w:rsid w:val="00177058"/>
    <w:rsid w:val="001773F7"/>
    <w:rsid w:val="0017761F"/>
    <w:rsid w:val="00177C94"/>
    <w:rsid w:val="00180DC5"/>
    <w:rsid w:val="0018116E"/>
    <w:rsid w:val="001817B1"/>
    <w:rsid w:val="00182042"/>
    <w:rsid w:val="00182146"/>
    <w:rsid w:val="00182CC1"/>
    <w:rsid w:val="001834F0"/>
    <w:rsid w:val="00183C9E"/>
    <w:rsid w:val="00183F4E"/>
    <w:rsid w:val="0018506C"/>
    <w:rsid w:val="001853D9"/>
    <w:rsid w:val="0018545E"/>
    <w:rsid w:val="0018643E"/>
    <w:rsid w:val="00186F95"/>
    <w:rsid w:val="0018727C"/>
    <w:rsid w:val="00187476"/>
    <w:rsid w:val="00187520"/>
    <w:rsid w:val="0018762F"/>
    <w:rsid w:val="00187799"/>
    <w:rsid w:val="00190594"/>
    <w:rsid w:val="001907E8"/>
    <w:rsid w:val="00190CDF"/>
    <w:rsid w:val="00190D38"/>
    <w:rsid w:val="00190DA7"/>
    <w:rsid w:val="00192C5E"/>
    <w:rsid w:val="00194098"/>
    <w:rsid w:val="00194646"/>
    <w:rsid w:val="00194C95"/>
    <w:rsid w:val="00194FBC"/>
    <w:rsid w:val="00195128"/>
    <w:rsid w:val="001958D3"/>
    <w:rsid w:val="00195FA3"/>
    <w:rsid w:val="00197C65"/>
    <w:rsid w:val="001A0501"/>
    <w:rsid w:val="001A062B"/>
    <w:rsid w:val="001A2145"/>
    <w:rsid w:val="001A284D"/>
    <w:rsid w:val="001A2A70"/>
    <w:rsid w:val="001A2D94"/>
    <w:rsid w:val="001A329B"/>
    <w:rsid w:val="001A3759"/>
    <w:rsid w:val="001A49F3"/>
    <w:rsid w:val="001A4AF8"/>
    <w:rsid w:val="001A4F0E"/>
    <w:rsid w:val="001A5129"/>
    <w:rsid w:val="001A5619"/>
    <w:rsid w:val="001A5A83"/>
    <w:rsid w:val="001A5D74"/>
    <w:rsid w:val="001A5D8E"/>
    <w:rsid w:val="001A5EFC"/>
    <w:rsid w:val="001A667F"/>
    <w:rsid w:val="001A705A"/>
    <w:rsid w:val="001A7575"/>
    <w:rsid w:val="001B09AC"/>
    <w:rsid w:val="001B0F7F"/>
    <w:rsid w:val="001B182F"/>
    <w:rsid w:val="001B19D1"/>
    <w:rsid w:val="001B1A56"/>
    <w:rsid w:val="001B1B3E"/>
    <w:rsid w:val="001B2385"/>
    <w:rsid w:val="001B32C9"/>
    <w:rsid w:val="001B33D7"/>
    <w:rsid w:val="001B33F7"/>
    <w:rsid w:val="001B3970"/>
    <w:rsid w:val="001B3E91"/>
    <w:rsid w:val="001B4691"/>
    <w:rsid w:val="001B46E0"/>
    <w:rsid w:val="001B51BA"/>
    <w:rsid w:val="001B6A85"/>
    <w:rsid w:val="001B6AC3"/>
    <w:rsid w:val="001C0533"/>
    <w:rsid w:val="001C15D2"/>
    <w:rsid w:val="001C1E14"/>
    <w:rsid w:val="001C37A0"/>
    <w:rsid w:val="001C3F50"/>
    <w:rsid w:val="001C410B"/>
    <w:rsid w:val="001C5E9D"/>
    <w:rsid w:val="001C628B"/>
    <w:rsid w:val="001C6548"/>
    <w:rsid w:val="001C69E7"/>
    <w:rsid w:val="001C6E8E"/>
    <w:rsid w:val="001C766A"/>
    <w:rsid w:val="001C77E6"/>
    <w:rsid w:val="001C7B53"/>
    <w:rsid w:val="001D0136"/>
    <w:rsid w:val="001D080C"/>
    <w:rsid w:val="001D0A72"/>
    <w:rsid w:val="001D0D5E"/>
    <w:rsid w:val="001D1FED"/>
    <w:rsid w:val="001D2430"/>
    <w:rsid w:val="001D28D8"/>
    <w:rsid w:val="001D2E62"/>
    <w:rsid w:val="001D31C8"/>
    <w:rsid w:val="001D3374"/>
    <w:rsid w:val="001D3932"/>
    <w:rsid w:val="001D4908"/>
    <w:rsid w:val="001D568D"/>
    <w:rsid w:val="001D5C64"/>
    <w:rsid w:val="001D6BD7"/>
    <w:rsid w:val="001D6DBF"/>
    <w:rsid w:val="001D7551"/>
    <w:rsid w:val="001D75C1"/>
    <w:rsid w:val="001D79B6"/>
    <w:rsid w:val="001D79EA"/>
    <w:rsid w:val="001E0120"/>
    <w:rsid w:val="001E0200"/>
    <w:rsid w:val="001E057D"/>
    <w:rsid w:val="001E1FCC"/>
    <w:rsid w:val="001E2740"/>
    <w:rsid w:val="001E3582"/>
    <w:rsid w:val="001E4C76"/>
    <w:rsid w:val="001E586F"/>
    <w:rsid w:val="001E6704"/>
    <w:rsid w:val="001E6ACC"/>
    <w:rsid w:val="001E6B68"/>
    <w:rsid w:val="001E6EF3"/>
    <w:rsid w:val="001E735E"/>
    <w:rsid w:val="001E73FA"/>
    <w:rsid w:val="001E7CFF"/>
    <w:rsid w:val="001E7D49"/>
    <w:rsid w:val="001E7EBA"/>
    <w:rsid w:val="001F0C86"/>
    <w:rsid w:val="001F1ED4"/>
    <w:rsid w:val="001F2393"/>
    <w:rsid w:val="001F2994"/>
    <w:rsid w:val="001F2CF8"/>
    <w:rsid w:val="001F2D4F"/>
    <w:rsid w:val="001F2F17"/>
    <w:rsid w:val="001F3151"/>
    <w:rsid w:val="001F3BBB"/>
    <w:rsid w:val="001F58EE"/>
    <w:rsid w:val="001F5B5D"/>
    <w:rsid w:val="001F5BA0"/>
    <w:rsid w:val="001F64B6"/>
    <w:rsid w:val="001F6F54"/>
    <w:rsid w:val="001F74F1"/>
    <w:rsid w:val="00201D8A"/>
    <w:rsid w:val="00202993"/>
    <w:rsid w:val="00202BFA"/>
    <w:rsid w:val="00203909"/>
    <w:rsid w:val="00205202"/>
    <w:rsid w:val="002068B8"/>
    <w:rsid w:val="00207917"/>
    <w:rsid w:val="00210037"/>
    <w:rsid w:val="002105CC"/>
    <w:rsid w:val="002105FB"/>
    <w:rsid w:val="00210CAB"/>
    <w:rsid w:val="00211636"/>
    <w:rsid w:val="002117CD"/>
    <w:rsid w:val="00211BBE"/>
    <w:rsid w:val="00211D39"/>
    <w:rsid w:val="0021272B"/>
    <w:rsid w:val="00212E71"/>
    <w:rsid w:val="00212F8A"/>
    <w:rsid w:val="0021318D"/>
    <w:rsid w:val="00213FD4"/>
    <w:rsid w:val="00214786"/>
    <w:rsid w:val="00214845"/>
    <w:rsid w:val="00214A47"/>
    <w:rsid w:val="00214D24"/>
    <w:rsid w:val="0021550D"/>
    <w:rsid w:val="00221C90"/>
    <w:rsid w:val="002226C4"/>
    <w:rsid w:val="002236DD"/>
    <w:rsid w:val="00223F72"/>
    <w:rsid w:val="00225075"/>
    <w:rsid w:val="00226E83"/>
    <w:rsid w:val="00227125"/>
    <w:rsid w:val="00227643"/>
    <w:rsid w:val="00227F07"/>
    <w:rsid w:val="00230B02"/>
    <w:rsid w:val="0023121A"/>
    <w:rsid w:val="00231C07"/>
    <w:rsid w:val="0023223E"/>
    <w:rsid w:val="00232554"/>
    <w:rsid w:val="002327FD"/>
    <w:rsid w:val="002329EC"/>
    <w:rsid w:val="00232D94"/>
    <w:rsid w:val="00233161"/>
    <w:rsid w:val="00233BBD"/>
    <w:rsid w:val="00233F36"/>
    <w:rsid w:val="00234F89"/>
    <w:rsid w:val="00235F9D"/>
    <w:rsid w:val="002360C7"/>
    <w:rsid w:val="002369B9"/>
    <w:rsid w:val="00237C4E"/>
    <w:rsid w:val="00237D7E"/>
    <w:rsid w:val="002404FC"/>
    <w:rsid w:val="00240941"/>
    <w:rsid w:val="00241794"/>
    <w:rsid w:val="00241C56"/>
    <w:rsid w:val="0024252C"/>
    <w:rsid w:val="002425EF"/>
    <w:rsid w:val="00242957"/>
    <w:rsid w:val="00242C68"/>
    <w:rsid w:val="00242E2D"/>
    <w:rsid w:val="00242E32"/>
    <w:rsid w:val="00242F89"/>
    <w:rsid w:val="0024406B"/>
    <w:rsid w:val="002440D0"/>
    <w:rsid w:val="00245566"/>
    <w:rsid w:val="0024633E"/>
    <w:rsid w:val="00246767"/>
    <w:rsid w:val="00247886"/>
    <w:rsid w:val="00250268"/>
    <w:rsid w:val="00250A51"/>
    <w:rsid w:val="00250AAF"/>
    <w:rsid w:val="0025119F"/>
    <w:rsid w:val="0025128B"/>
    <w:rsid w:val="00252D47"/>
    <w:rsid w:val="002531A2"/>
    <w:rsid w:val="00253326"/>
    <w:rsid w:val="00253915"/>
    <w:rsid w:val="00253CAC"/>
    <w:rsid w:val="0025408C"/>
    <w:rsid w:val="002549E0"/>
    <w:rsid w:val="00254F14"/>
    <w:rsid w:val="002563F4"/>
    <w:rsid w:val="00256EF7"/>
    <w:rsid w:val="00257337"/>
    <w:rsid w:val="0025767D"/>
    <w:rsid w:val="002576D4"/>
    <w:rsid w:val="00260D62"/>
    <w:rsid w:val="002610E8"/>
    <w:rsid w:val="002619C9"/>
    <w:rsid w:val="00262A38"/>
    <w:rsid w:val="002633CF"/>
    <w:rsid w:val="00263FC7"/>
    <w:rsid w:val="00264109"/>
    <w:rsid w:val="00264422"/>
    <w:rsid w:val="00264782"/>
    <w:rsid w:val="00264D72"/>
    <w:rsid w:val="0026549F"/>
    <w:rsid w:val="002660E6"/>
    <w:rsid w:val="00266A8A"/>
    <w:rsid w:val="00266DE3"/>
    <w:rsid w:val="00267C15"/>
    <w:rsid w:val="0027157C"/>
    <w:rsid w:val="00271CAA"/>
    <w:rsid w:val="00272803"/>
    <w:rsid w:val="00273DDF"/>
    <w:rsid w:val="0027497C"/>
    <w:rsid w:val="00274CCB"/>
    <w:rsid w:val="00275CA1"/>
    <w:rsid w:val="002769B7"/>
    <w:rsid w:val="00276F2E"/>
    <w:rsid w:val="0027705D"/>
    <w:rsid w:val="0027728C"/>
    <w:rsid w:val="00277739"/>
    <w:rsid w:val="002801D4"/>
    <w:rsid w:val="0028025A"/>
    <w:rsid w:val="002807ED"/>
    <w:rsid w:val="00280F05"/>
    <w:rsid w:val="002815D0"/>
    <w:rsid w:val="0028220A"/>
    <w:rsid w:val="002836E4"/>
    <w:rsid w:val="002838CC"/>
    <w:rsid w:val="00283971"/>
    <w:rsid w:val="00283D11"/>
    <w:rsid w:val="00283F40"/>
    <w:rsid w:val="0028494F"/>
    <w:rsid w:val="00284C03"/>
    <w:rsid w:val="00285EFB"/>
    <w:rsid w:val="00285F00"/>
    <w:rsid w:val="00290349"/>
    <w:rsid w:val="00290C66"/>
    <w:rsid w:val="00291D2A"/>
    <w:rsid w:val="002922A1"/>
    <w:rsid w:val="00292CDE"/>
    <w:rsid w:val="00293E61"/>
    <w:rsid w:val="00294DB8"/>
    <w:rsid w:val="00296403"/>
    <w:rsid w:val="002974DD"/>
    <w:rsid w:val="00297C62"/>
    <w:rsid w:val="002A1D6F"/>
    <w:rsid w:val="002A257C"/>
    <w:rsid w:val="002A27A9"/>
    <w:rsid w:val="002A312E"/>
    <w:rsid w:val="002A3F90"/>
    <w:rsid w:val="002A3F95"/>
    <w:rsid w:val="002A42F0"/>
    <w:rsid w:val="002A542A"/>
    <w:rsid w:val="002A5AD8"/>
    <w:rsid w:val="002A5F8A"/>
    <w:rsid w:val="002A6253"/>
    <w:rsid w:val="002A67B8"/>
    <w:rsid w:val="002A747C"/>
    <w:rsid w:val="002B0740"/>
    <w:rsid w:val="002B1575"/>
    <w:rsid w:val="002B1584"/>
    <w:rsid w:val="002B23A0"/>
    <w:rsid w:val="002B24F6"/>
    <w:rsid w:val="002B28CE"/>
    <w:rsid w:val="002B32A9"/>
    <w:rsid w:val="002B38C2"/>
    <w:rsid w:val="002B3AEA"/>
    <w:rsid w:val="002B3B86"/>
    <w:rsid w:val="002B40BC"/>
    <w:rsid w:val="002B4151"/>
    <w:rsid w:val="002B41D9"/>
    <w:rsid w:val="002B60EF"/>
    <w:rsid w:val="002B6C34"/>
    <w:rsid w:val="002B7055"/>
    <w:rsid w:val="002B776A"/>
    <w:rsid w:val="002B7FAA"/>
    <w:rsid w:val="002C0275"/>
    <w:rsid w:val="002C0642"/>
    <w:rsid w:val="002C06DA"/>
    <w:rsid w:val="002C0CC2"/>
    <w:rsid w:val="002C1747"/>
    <w:rsid w:val="002C32AA"/>
    <w:rsid w:val="002C3464"/>
    <w:rsid w:val="002C3A97"/>
    <w:rsid w:val="002C468C"/>
    <w:rsid w:val="002C57BE"/>
    <w:rsid w:val="002C594C"/>
    <w:rsid w:val="002C5B13"/>
    <w:rsid w:val="002C5BDD"/>
    <w:rsid w:val="002C7952"/>
    <w:rsid w:val="002D0F53"/>
    <w:rsid w:val="002D192B"/>
    <w:rsid w:val="002D1979"/>
    <w:rsid w:val="002D1B30"/>
    <w:rsid w:val="002D1F93"/>
    <w:rsid w:val="002D3175"/>
    <w:rsid w:val="002D4182"/>
    <w:rsid w:val="002D478E"/>
    <w:rsid w:val="002D5214"/>
    <w:rsid w:val="002D5C5B"/>
    <w:rsid w:val="002D6181"/>
    <w:rsid w:val="002D646D"/>
    <w:rsid w:val="002D6C08"/>
    <w:rsid w:val="002D7A64"/>
    <w:rsid w:val="002D7E5C"/>
    <w:rsid w:val="002D7F5D"/>
    <w:rsid w:val="002E1426"/>
    <w:rsid w:val="002E14E4"/>
    <w:rsid w:val="002E2170"/>
    <w:rsid w:val="002E2E63"/>
    <w:rsid w:val="002E3ADD"/>
    <w:rsid w:val="002E4BBC"/>
    <w:rsid w:val="002E4F98"/>
    <w:rsid w:val="002E5BF7"/>
    <w:rsid w:val="002E6083"/>
    <w:rsid w:val="002E6C34"/>
    <w:rsid w:val="002E72DD"/>
    <w:rsid w:val="002E79A5"/>
    <w:rsid w:val="002F011B"/>
    <w:rsid w:val="002F0E8A"/>
    <w:rsid w:val="002F2127"/>
    <w:rsid w:val="002F2A79"/>
    <w:rsid w:val="002F2AF6"/>
    <w:rsid w:val="002F2DCF"/>
    <w:rsid w:val="002F2E52"/>
    <w:rsid w:val="002F30F9"/>
    <w:rsid w:val="002F32B6"/>
    <w:rsid w:val="002F3549"/>
    <w:rsid w:val="002F3B19"/>
    <w:rsid w:val="002F4A64"/>
    <w:rsid w:val="002F5687"/>
    <w:rsid w:val="002F58E3"/>
    <w:rsid w:val="002F603E"/>
    <w:rsid w:val="002F63B7"/>
    <w:rsid w:val="002F6940"/>
    <w:rsid w:val="002F6D33"/>
    <w:rsid w:val="002F7721"/>
    <w:rsid w:val="002F7A6D"/>
    <w:rsid w:val="00300C5C"/>
    <w:rsid w:val="00300F35"/>
    <w:rsid w:val="00301529"/>
    <w:rsid w:val="00301550"/>
    <w:rsid w:val="00301E4B"/>
    <w:rsid w:val="00304AD9"/>
    <w:rsid w:val="003055D5"/>
    <w:rsid w:val="00305E15"/>
    <w:rsid w:val="003067CA"/>
    <w:rsid w:val="0030693F"/>
    <w:rsid w:val="00306A0B"/>
    <w:rsid w:val="00306A2B"/>
    <w:rsid w:val="00306AA9"/>
    <w:rsid w:val="00306FA5"/>
    <w:rsid w:val="003105F2"/>
    <w:rsid w:val="00310710"/>
    <w:rsid w:val="00310750"/>
    <w:rsid w:val="00310AC6"/>
    <w:rsid w:val="00311240"/>
    <w:rsid w:val="0031147F"/>
    <w:rsid w:val="003114D4"/>
    <w:rsid w:val="003118DA"/>
    <w:rsid w:val="00311E81"/>
    <w:rsid w:val="0031230C"/>
    <w:rsid w:val="00314D07"/>
    <w:rsid w:val="00315136"/>
    <w:rsid w:val="00315FA3"/>
    <w:rsid w:val="0031666A"/>
    <w:rsid w:val="00316698"/>
    <w:rsid w:val="00316F93"/>
    <w:rsid w:val="0031716B"/>
    <w:rsid w:val="00320BF8"/>
    <w:rsid w:val="003220E2"/>
    <w:rsid w:val="0032288E"/>
    <w:rsid w:val="00322F73"/>
    <w:rsid w:val="0032302F"/>
    <w:rsid w:val="00323255"/>
    <w:rsid w:val="003247EF"/>
    <w:rsid w:val="00325F6B"/>
    <w:rsid w:val="00326274"/>
    <w:rsid w:val="0032673D"/>
    <w:rsid w:val="00326880"/>
    <w:rsid w:val="00327BDF"/>
    <w:rsid w:val="003309C9"/>
    <w:rsid w:val="00330DA4"/>
    <w:rsid w:val="00330EE0"/>
    <w:rsid w:val="00331378"/>
    <w:rsid w:val="003322BE"/>
    <w:rsid w:val="0033273B"/>
    <w:rsid w:val="00332751"/>
    <w:rsid w:val="00333712"/>
    <w:rsid w:val="00333BC6"/>
    <w:rsid w:val="00333BF1"/>
    <w:rsid w:val="00334ABA"/>
    <w:rsid w:val="00335223"/>
    <w:rsid w:val="00335B0C"/>
    <w:rsid w:val="00335DD3"/>
    <w:rsid w:val="0033673C"/>
    <w:rsid w:val="0033751D"/>
    <w:rsid w:val="00337809"/>
    <w:rsid w:val="003403A3"/>
    <w:rsid w:val="00340823"/>
    <w:rsid w:val="00340E25"/>
    <w:rsid w:val="003414D8"/>
    <w:rsid w:val="003418B7"/>
    <w:rsid w:val="00341E97"/>
    <w:rsid w:val="00343696"/>
    <w:rsid w:val="003437DE"/>
    <w:rsid w:val="00344745"/>
    <w:rsid w:val="00344F9A"/>
    <w:rsid w:val="0034562F"/>
    <w:rsid w:val="0034629B"/>
    <w:rsid w:val="003463F5"/>
    <w:rsid w:val="003467BB"/>
    <w:rsid w:val="00346E34"/>
    <w:rsid w:val="00347287"/>
    <w:rsid w:val="003472EE"/>
    <w:rsid w:val="003478B3"/>
    <w:rsid w:val="00347E00"/>
    <w:rsid w:val="00350D52"/>
    <w:rsid w:val="00350E98"/>
    <w:rsid w:val="00352AF4"/>
    <w:rsid w:val="00352D15"/>
    <w:rsid w:val="00353B8A"/>
    <w:rsid w:val="00353CEA"/>
    <w:rsid w:val="0035405F"/>
    <w:rsid w:val="003540D0"/>
    <w:rsid w:val="003540E0"/>
    <w:rsid w:val="0035421D"/>
    <w:rsid w:val="00354C0A"/>
    <w:rsid w:val="00354C7A"/>
    <w:rsid w:val="003553BE"/>
    <w:rsid w:val="00355841"/>
    <w:rsid w:val="00355FE6"/>
    <w:rsid w:val="00357ECE"/>
    <w:rsid w:val="00360DE0"/>
    <w:rsid w:val="00360F8A"/>
    <w:rsid w:val="003617EF"/>
    <w:rsid w:val="003620C0"/>
    <w:rsid w:val="00362294"/>
    <w:rsid w:val="003629ED"/>
    <w:rsid w:val="00362BBE"/>
    <w:rsid w:val="00362EE0"/>
    <w:rsid w:val="0036367B"/>
    <w:rsid w:val="00363992"/>
    <w:rsid w:val="00363FB9"/>
    <w:rsid w:val="00364050"/>
    <w:rsid w:val="003641E7"/>
    <w:rsid w:val="00364D7A"/>
    <w:rsid w:val="00365CB6"/>
    <w:rsid w:val="003700E5"/>
    <w:rsid w:val="003705D3"/>
    <w:rsid w:val="00371BEA"/>
    <w:rsid w:val="00372F43"/>
    <w:rsid w:val="003731C0"/>
    <w:rsid w:val="00373839"/>
    <w:rsid w:val="0037458A"/>
    <w:rsid w:val="00374EB5"/>
    <w:rsid w:val="00374FE2"/>
    <w:rsid w:val="00375897"/>
    <w:rsid w:val="00376494"/>
    <w:rsid w:val="00376911"/>
    <w:rsid w:val="00377D1F"/>
    <w:rsid w:val="0038147B"/>
    <w:rsid w:val="003815C8"/>
    <w:rsid w:val="00381EFC"/>
    <w:rsid w:val="003820ED"/>
    <w:rsid w:val="00382635"/>
    <w:rsid w:val="0038318B"/>
    <w:rsid w:val="0038363A"/>
    <w:rsid w:val="003838AA"/>
    <w:rsid w:val="00384272"/>
    <w:rsid w:val="00384DD5"/>
    <w:rsid w:val="003850B1"/>
    <w:rsid w:val="00385178"/>
    <w:rsid w:val="003857AF"/>
    <w:rsid w:val="00386EBB"/>
    <w:rsid w:val="003874E0"/>
    <w:rsid w:val="00387DDD"/>
    <w:rsid w:val="00390326"/>
    <w:rsid w:val="003918DE"/>
    <w:rsid w:val="00392153"/>
    <w:rsid w:val="00392D6C"/>
    <w:rsid w:val="0039324E"/>
    <w:rsid w:val="003936F5"/>
    <w:rsid w:val="0039377C"/>
    <w:rsid w:val="003940B0"/>
    <w:rsid w:val="00394591"/>
    <w:rsid w:val="003946EB"/>
    <w:rsid w:val="00394E61"/>
    <w:rsid w:val="0039542C"/>
    <w:rsid w:val="003956CE"/>
    <w:rsid w:val="003958B1"/>
    <w:rsid w:val="00395E2F"/>
    <w:rsid w:val="003960B9"/>
    <w:rsid w:val="00396AA1"/>
    <w:rsid w:val="00397691"/>
    <w:rsid w:val="00397B3B"/>
    <w:rsid w:val="00397F4E"/>
    <w:rsid w:val="003A0A1A"/>
    <w:rsid w:val="003A0AD5"/>
    <w:rsid w:val="003A10B5"/>
    <w:rsid w:val="003A1696"/>
    <w:rsid w:val="003A18CF"/>
    <w:rsid w:val="003A1F50"/>
    <w:rsid w:val="003A2824"/>
    <w:rsid w:val="003A3828"/>
    <w:rsid w:val="003A5393"/>
    <w:rsid w:val="003A53D6"/>
    <w:rsid w:val="003A571A"/>
    <w:rsid w:val="003A5D2E"/>
    <w:rsid w:val="003A675A"/>
    <w:rsid w:val="003A6849"/>
    <w:rsid w:val="003A7674"/>
    <w:rsid w:val="003B0D19"/>
    <w:rsid w:val="003B0FBA"/>
    <w:rsid w:val="003B102A"/>
    <w:rsid w:val="003B1995"/>
    <w:rsid w:val="003B1F36"/>
    <w:rsid w:val="003B2338"/>
    <w:rsid w:val="003B236D"/>
    <w:rsid w:val="003B2927"/>
    <w:rsid w:val="003B2937"/>
    <w:rsid w:val="003B2D10"/>
    <w:rsid w:val="003B35B0"/>
    <w:rsid w:val="003B3710"/>
    <w:rsid w:val="003B3B6A"/>
    <w:rsid w:val="003B4061"/>
    <w:rsid w:val="003B409A"/>
    <w:rsid w:val="003B4F76"/>
    <w:rsid w:val="003B50D1"/>
    <w:rsid w:val="003B52C6"/>
    <w:rsid w:val="003B5DA4"/>
    <w:rsid w:val="003B6194"/>
    <w:rsid w:val="003B6395"/>
    <w:rsid w:val="003B6EA6"/>
    <w:rsid w:val="003B72C7"/>
    <w:rsid w:val="003B7762"/>
    <w:rsid w:val="003C0D5A"/>
    <w:rsid w:val="003C10C3"/>
    <w:rsid w:val="003C162B"/>
    <w:rsid w:val="003C230B"/>
    <w:rsid w:val="003C2CFD"/>
    <w:rsid w:val="003C3446"/>
    <w:rsid w:val="003C41A3"/>
    <w:rsid w:val="003C4C41"/>
    <w:rsid w:val="003C5042"/>
    <w:rsid w:val="003C5CA8"/>
    <w:rsid w:val="003C5D6F"/>
    <w:rsid w:val="003C62F1"/>
    <w:rsid w:val="003C6493"/>
    <w:rsid w:val="003C657B"/>
    <w:rsid w:val="003C6B9C"/>
    <w:rsid w:val="003C7121"/>
    <w:rsid w:val="003D09D0"/>
    <w:rsid w:val="003D0C26"/>
    <w:rsid w:val="003D0DB7"/>
    <w:rsid w:val="003D1218"/>
    <w:rsid w:val="003D1D17"/>
    <w:rsid w:val="003D1D45"/>
    <w:rsid w:val="003D29A3"/>
    <w:rsid w:val="003D3585"/>
    <w:rsid w:val="003D48A2"/>
    <w:rsid w:val="003D48F1"/>
    <w:rsid w:val="003D496F"/>
    <w:rsid w:val="003D4F7E"/>
    <w:rsid w:val="003D5433"/>
    <w:rsid w:val="003D6446"/>
    <w:rsid w:val="003D651B"/>
    <w:rsid w:val="003D7576"/>
    <w:rsid w:val="003D7657"/>
    <w:rsid w:val="003D7B2B"/>
    <w:rsid w:val="003E035E"/>
    <w:rsid w:val="003E0D82"/>
    <w:rsid w:val="003E122F"/>
    <w:rsid w:val="003E192F"/>
    <w:rsid w:val="003E1F06"/>
    <w:rsid w:val="003E2AC7"/>
    <w:rsid w:val="003E3C1E"/>
    <w:rsid w:val="003E4D6D"/>
    <w:rsid w:val="003E50D5"/>
    <w:rsid w:val="003E6067"/>
    <w:rsid w:val="003E744C"/>
    <w:rsid w:val="003F0194"/>
    <w:rsid w:val="003F072D"/>
    <w:rsid w:val="003F12D7"/>
    <w:rsid w:val="003F3E5C"/>
    <w:rsid w:val="003F3E5D"/>
    <w:rsid w:val="003F4A40"/>
    <w:rsid w:val="003F5405"/>
    <w:rsid w:val="003F5E99"/>
    <w:rsid w:val="003F628E"/>
    <w:rsid w:val="003F71EC"/>
    <w:rsid w:val="003F72BF"/>
    <w:rsid w:val="003F766A"/>
    <w:rsid w:val="003F7787"/>
    <w:rsid w:val="003F78E8"/>
    <w:rsid w:val="00400691"/>
    <w:rsid w:val="00401190"/>
    <w:rsid w:val="00401529"/>
    <w:rsid w:val="00401D8F"/>
    <w:rsid w:val="004020D3"/>
    <w:rsid w:val="00403043"/>
    <w:rsid w:val="0040438F"/>
    <w:rsid w:val="00404947"/>
    <w:rsid w:val="00404AF4"/>
    <w:rsid w:val="00405159"/>
    <w:rsid w:val="00405348"/>
    <w:rsid w:val="00405B9D"/>
    <w:rsid w:val="00405F77"/>
    <w:rsid w:val="004064ED"/>
    <w:rsid w:val="00407676"/>
    <w:rsid w:val="004100E2"/>
    <w:rsid w:val="00410514"/>
    <w:rsid w:val="00410581"/>
    <w:rsid w:val="00411555"/>
    <w:rsid w:val="004118FD"/>
    <w:rsid w:val="00412216"/>
    <w:rsid w:val="00412667"/>
    <w:rsid w:val="004131B4"/>
    <w:rsid w:val="00413748"/>
    <w:rsid w:val="00413760"/>
    <w:rsid w:val="004138D1"/>
    <w:rsid w:val="00413CF3"/>
    <w:rsid w:val="0041407C"/>
    <w:rsid w:val="0041490A"/>
    <w:rsid w:val="00414AB9"/>
    <w:rsid w:val="00414AE0"/>
    <w:rsid w:val="00414CE2"/>
    <w:rsid w:val="00415A0F"/>
    <w:rsid w:val="00415A74"/>
    <w:rsid w:val="00415D75"/>
    <w:rsid w:val="00415FD2"/>
    <w:rsid w:val="0041643F"/>
    <w:rsid w:val="004172AE"/>
    <w:rsid w:val="00417AD8"/>
    <w:rsid w:val="00417F58"/>
    <w:rsid w:val="0042204F"/>
    <w:rsid w:val="004223B4"/>
    <w:rsid w:val="004230D1"/>
    <w:rsid w:val="0042356C"/>
    <w:rsid w:val="00424E44"/>
    <w:rsid w:val="00424E89"/>
    <w:rsid w:val="00430274"/>
    <w:rsid w:val="00430728"/>
    <w:rsid w:val="004317DD"/>
    <w:rsid w:val="0043182C"/>
    <w:rsid w:val="00432BE6"/>
    <w:rsid w:val="00433969"/>
    <w:rsid w:val="0043431C"/>
    <w:rsid w:val="004357DA"/>
    <w:rsid w:val="004360ED"/>
    <w:rsid w:val="00436B85"/>
    <w:rsid w:val="00437936"/>
    <w:rsid w:val="00437B26"/>
    <w:rsid w:val="00437F1E"/>
    <w:rsid w:val="0044001D"/>
    <w:rsid w:val="0044168E"/>
    <w:rsid w:val="00441C6B"/>
    <w:rsid w:val="004420ED"/>
    <w:rsid w:val="00442BC3"/>
    <w:rsid w:val="00442DAE"/>
    <w:rsid w:val="00442ECF"/>
    <w:rsid w:val="004430C9"/>
    <w:rsid w:val="0044397C"/>
    <w:rsid w:val="004448D5"/>
    <w:rsid w:val="00445682"/>
    <w:rsid w:val="00445EFD"/>
    <w:rsid w:val="00446AB2"/>
    <w:rsid w:val="00446DE6"/>
    <w:rsid w:val="0045069C"/>
    <w:rsid w:val="004509A6"/>
    <w:rsid w:val="00450B7B"/>
    <w:rsid w:val="004514BD"/>
    <w:rsid w:val="00451812"/>
    <w:rsid w:val="00452F1D"/>
    <w:rsid w:val="004534FB"/>
    <w:rsid w:val="00454277"/>
    <w:rsid w:val="004550F4"/>
    <w:rsid w:val="00455484"/>
    <w:rsid w:val="004558AB"/>
    <w:rsid w:val="00455FAB"/>
    <w:rsid w:val="004563A5"/>
    <w:rsid w:val="004565E5"/>
    <w:rsid w:val="00456606"/>
    <w:rsid w:val="00456897"/>
    <w:rsid w:val="0046009A"/>
    <w:rsid w:val="00460819"/>
    <w:rsid w:val="004610BD"/>
    <w:rsid w:val="00461DD6"/>
    <w:rsid w:val="00461E77"/>
    <w:rsid w:val="00463D98"/>
    <w:rsid w:val="004646FB"/>
    <w:rsid w:val="00464960"/>
    <w:rsid w:val="00464DE7"/>
    <w:rsid w:val="00465607"/>
    <w:rsid w:val="00465A3F"/>
    <w:rsid w:val="00465ABD"/>
    <w:rsid w:val="0046766F"/>
    <w:rsid w:val="00470573"/>
    <w:rsid w:val="004708D3"/>
    <w:rsid w:val="004709F6"/>
    <w:rsid w:val="00470DD3"/>
    <w:rsid w:val="00470F43"/>
    <w:rsid w:val="004715F4"/>
    <w:rsid w:val="004724B1"/>
    <w:rsid w:val="004727BB"/>
    <w:rsid w:val="00472942"/>
    <w:rsid w:val="00472E9B"/>
    <w:rsid w:val="00472FF4"/>
    <w:rsid w:val="004734EA"/>
    <w:rsid w:val="00473688"/>
    <w:rsid w:val="00473C91"/>
    <w:rsid w:val="00474B48"/>
    <w:rsid w:val="00474CA5"/>
    <w:rsid w:val="0047575A"/>
    <w:rsid w:val="00476735"/>
    <w:rsid w:val="00476905"/>
    <w:rsid w:val="00476B28"/>
    <w:rsid w:val="00476F62"/>
    <w:rsid w:val="00477201"/>
    <w:rsid w:val="004800FF"/>
    <w:rsid w:val="00480E4A"/>
    <w:rsid w:val="00481037"/>
    <w:rsid w:val="004813A4"/>
    <w:rsid w:val="00481C8E"/>
    <w:rsid w:val="00482507"/>
    <w:rsid w:val="004832A9"/>
    <w:rsid w:val="004834EB"/>
    <w:rsid w:val="00483879"/>
    <w:rsid w:val="00483971"/>
    <w:rsid w:val="00484163"/>
    <w:rsid w:val="004848CA"/>
    <w:rsid w:val="00484F64"/>
    <w:rsid w:val="00485D61"/>
    <w:rsid w:val="00486EBC"/>
    <w:rsid w:val="00486EE7"/>
    <w:rsid w:val="00487E84"/>
    <w:rsid w:val="004903E8"/>
    <w:rsid w:val="00490839"/>
    <w:rsid w:val="00491C68"/>
    <w:rsid w:val="00491CCB"/>
    <w:rsid w:val="004921C0"/>
    <w:rsid w:val="0049489B"/>
    <w:rsid w:val="00494E7A"/>
    <w:rsid w:val="00495746"/>
    <w:rsid w:val="00495A00"/>
    <w:rsid w:val="00495FED"/>
    <w:rsid w:val="00496112"/>
    <w:rsid w:val="0049679A"/>
    <w:rsid w:val="00497F42"/>
    <w:rsid w:val="004A0059"/>
    <w:rsid w:val="004A0BC7"/>
    <w:rsid w:val="004A10A7"/>
    <w:rsid w:val="004A20B8"/>
    <w:rsid w:val="004A2A06"/>
    <w:rsid w:val="004A4D89"/>
    <w:rsid w:val="004A6B37"/>
    <w:rsid w:val="004A6B39"/>
    <w:rsid w:val="004A748B"/>
    <w:rsid w:val="004A7826"/>
    <w:rsid w:val="004B0FF9"/>
    <w:rsid w:val="004B1EF6"/>
    <w:rsid w:val="004B2554"/>
    <w:rsid w:val="004B27A3"/>
    <w:rsid w:val="004B2E4C"/>
    <w:rsid w:val="004B3036"/>
    <w:rsid w:val="004B33A7"/>
    <w:rsid w:val="004B3946"/>
    <w:rsid w:val="004B4A99"/>
    <w:rsid w:val="004B58A0"/>
    <w:rsid w:val="004B5E6E"/>
    <w:rsid w:val="004B6E14"/>
    <w:rsid w:val="004B6E1F"/>
    <w:rsid w:val="004B6EBD"/>
    <w:rsid w:val="004B6ED4"/>
    <w:rsid w:val="004B79B7"/>
    <w:rsid w:val="004C07EC"/>
    <w:rsid w:val="004C0F73"/>
    <w:rsid w:val="004C1135"/>
    <w:rsid w:val="004C2497"/>
    <w:rsid w:val="004C2865"/>
    <w:rsid w:val="004C3A01"/>
    <w:rsid w:val="004C5FE7"/>
    <w:rsid w:val="004C79E1"/>
    <w:rsid w:val="004C7DC0"/>
    <w:rsid w:val="004C7F2F"/>
    <w:rsid w:val="004D022C"/>
    <w:rsid w:val="004D07BD"/>
    <w:rsid w:val="004D0C60"/>
    <w:rsid w:val="004D0F66"/>
    <w:rsid w:val="004D1340"/>
    <w:rsid w:val="004D1943"/>
    <w:rsid w:val="004D213F"/>
    <w:rsid w:val="004D31F8"/>
    <w:rsid w:val="004D3902"/>
    <w:rsid w:val="004D3945"/>
    <w:rsid w:val="004D3C5E"/>
    <w:rsid w:val="004D4C3D"/>
    <w:rsid w:val="004D4DD4"/>
    <w:rsid w:val="004D4E68"/>
    <w:rsid w:val="004D4E7A"/>
    <w:rsid w:val="004D513D"/>
    <w:rsid w:val="004D62F3"/>
    <w:rsid w:val="004D67BF"/>
    <w:rsid w:val="004D6D8F"/>
    <w:rsid w:val="004D6F08"/>
    <w:rsid w:val="004D7BE3"/>
    <w:rsid w:val="004E0B4C"/>
    <w:rsid w:val="004E0D21"/>
    <w:rsid w:val="004E2B6E"/>
    <w:rsid w:val="004E30FD"/>
    <w:rsid w:val="004E392C"/>
    <w:rsid w:val="004E414E"/>
    <w:rsid w:val="004E4318"/>
    <w:rsid w:val="004E4355"/>
    <w:rsid w:val="004E53DA"/>
    <w:rsid w:val="004E5496"/>
    <w:rsid w:val="004E550C"/>
    <w:rsid w:val="004E60DB"/>
    <w:rsid w:val="004E755C"/>
    <w:rsid w:val="004E7FC6"/>
    <w:rsid w:val="004F0050"/>
    <w:rsid w:val="004F1273"/>
    <w:rsid w:val="004F1749"/>
    <w:rsid w:val="004F1914"/>
    <w:rsid w:val="004F218C"/>
    <w:rsid w:val="004F573E"/>
    <w:rsid w:val="004F5887"/>
    <w:rsid w:val="004F63A3"/>
    <w:rsid w:val="004F64B1"/>
    <w:rsid w:val="004F6757"/>
    <w:rsid w:val="00500C93"/>
    <w:rsid w:val="00500E6B"/>
    <w:rsid w:val="00501AA8"/>
    <w:rsid w:val="0050216D"/>
    <w:rsid w:val="0050255F"/>
    <w:rsid w:val="005026A4"/>
    <w:rsid w:val="00502CA5"/>
    <w:rsid w:val="00503F91"/>
    <w:rsid w:val="005052DC"/>
    <w:rsid w:val="0050560A"/>
    <w:rsid w:val="0050583A"/>
    <w:rsid w:val="005058DB"/>
    <w:rsid w:val="005060C5"/>
    <w:rsid w:val="00506565"/>
    <w:rsid w:val="0050774B"/>
    <w:rsid w:val="00507A71"/>
    <w:rsid w:val="00507A96"/>
    <w:rsid w:val="00511382"/>
    <w:rsid w:val="005116A8"/>
    <w:rsid w:val="0051211D"/>
    <w:rsid w:val="00512451"/>
    <w:rsid w:val="00513352"/>
    <w:rsid w:val="00513577"/>
    <w:rsid w:val="00513CFC"/>
    <w:rsid w:val="005145C8"/>
    <w:rsid w:val="00514739"/>
    <w:rsid w:val="00514AC1"/>
    <w:rsid w:val="005158F3"/>
    <w:rsid w:val="00516224"/>
    <w:rsid w:val="00516453"/>
    <w:rsid w:val="00516AAD"/>
    <w:rsid w:val="00516E64"/>
    <w:rsid w:val="00516FB2"/>
    <w:rsid w:val="00517B0C"/>
    <w:rsid w:val="00521324"/>
    <w:rsid w:val="00521499"/>
    <w:rsid w:val="00524804"/>
    <w:rsid w:val="005257A1"/>
    <w:rsid w:val="005257E6"/>
    <w:rsid w:val="005259D5"/>
    <w:rsid w:val="00525A0D"/>
    <w:rsid w:val="00526ABB"/>
    <w:rsid w:val="00526D08"/>
    <w:rsid w:val="00526D3D"/>
    <w:rsid w:val="0052731C"/>
    <w:rsid w:val="00527F9F"/>
    <w:rsid w:val="00530790"/>
    <w:rsid w:val="00530CA6"/>
    <w:rsid w:val="00530EFE"/>
    <w:rsid w:val="00531E91"/>
    <w:rsid w:val="00531EAB"/>
    <w:rsid w:val="005323F9"/>
    <w:rsid w:val="00533470"/>
    <w:rsid w:val="00533C3E"/>
    <w:rsid w:val="005348E0"/>
    <w:rsid w:val="00534DBE"/>
    <w:rsid w:val="00534E68"/>
    <w:rsid w:val="00535127"/>
    <w:rsid w:val="005356F4"/>
    <w:rsid w:val="00535789"/>
    <w:rsid w:val="00540547"/>
    <w:rsid w:val="00540C4D"/>
    <w:rsid w:val="005414B5"/>
    <w:rsid w:val="00541A8A"/>
    <w:rsid w:val="00541BF6"/>
    <w:rsid w:val="005422C1"/>
    <w:rsid w:val="005439BB"/>
    <w:rsid w:val="00543A55"/>
    <w:rsid w:val="005444CE"/>
    <w:rsid w:val="005464AB"/>
    <w:rsid w:val="005471BD"/>
    <w:rsid w:val="0054757C"/>
    <w:rsid w:val="00550F3A"/>
    <w:rsid w:val="00551EB3"/>
    <w:rsid w:val="005543CA"/>
    <w:rsid w:val="00554920"/>
    <w:rsid w:val="00554964"/>
    <w:rsid w:val="005557B7"/>
    <w:rsid w:val="00556022"/>
    <w:rsid w:val="005560CC"/>
    <w:rsid w:val="005560DC"/>
    <w:rsid w:val="00556327"/>
    <w:rsid w:val="0055764C"/>
    <w:rsid w:val="00557B14"/>
    <w:rsid w:val="00557E02"/>
    <w:rsid w:val="0056047F"/>
    <w:rsid w:val="00561340"/>
    <w:rsid w:val="00561AB4"/>
    <w:rsid w:val="005626A7"/>
    <w:rsid w:val="005631D4"/>
    <w:rsid w:val="00563D3B"/>
    <w:rsid w:val="00563EC1"/>
    <w:rsid w:val="005649F1"/>
    <w:rsid w:val="00565A90"/>
    <w:rsid w:val="00567B87"/>
    <w:rsid w:val="005700EA"/>
    <w:rsid w:val="00570563"/>
    <w:rsid w:val="00570704"/>
    <w:rsid w:val="0057165C"/>
    <w:rsid w:val="00573297"/>
    <w:rsid w:val="00573829"/>
    <w:rsid w:val="0057488B"/>
    <w:rsid w:val="005751A3"/>
    <w:rsid w:val="0057638C"/>
    <w:rsid w:val="0058182B"/>
    <w:rsid w:val="00581B3C"/>
    <w:rsid w:val="005831B7"/>
    <w:rsid w:val="0058325E"/>
    <w:rsid w:val="00583631"/>
    <w:rsid w:val="005840B7"/>
    <w:rsid w:val="005842A5"/>
    <w:rsid w:val="00584BA2"/>
    <w:rsid w:val="0058504A"/>
    <w:rsid w:val="00585626"/>
    <w:rsid w:val="0058650C"/>
    <w:rsid w:val="00586546"/>
    <w:rsid w:val="0058784D"/>
    <w:rsid w:val="00587DE4"/>
    <w:rsid w:val="00591EFF"/>
    <w:rsid w:val="00592313"/>
    <w:rsid w:val="00593070"/>
    <w:rsid w:val="0059376D"/>
    <w:rsid w:val="0059443F"/>
    <w:rsid w:val="005959F6"/>
    <w:rsid w:val="00596098"/>
    <w:rsid w:val="00596184"/>
    <w:rsid w:val="00596A67"/>
    <w:rsid w:val="00596B5C"/>
    <w:rsid w:val="005A04DD"/>
    <w:rsid w:val="005A0A6F"/>
    <w:rsid w:val="005A0AED"/>
    <w:rsid w:val="005A12E3"/>
    <w:rsid w:val="005A1353"/>
    <w:rsid w:val="005A2150"/>
    <w:rsid w:val="005A2E2E"/>
    <w:rsid w:val="005A33D2"/>
    <w:rsid w:val="005A3983"/>
    <w:rsid w:val="005A3FD6"/>
    <w:rsid w:val="005A4E92"/>
    <w:rsid w:val="005A5A90"/>
    <w:rsid w:val="005A5E91"/>
    <w:rsid w:val="005A71F8"/>
    <w:rsid w:val="005A7B0B"/>
    <w:rsid w:val="005A7DDB"/>
    <w:rsid w:val="005B09FC"/>
    <w:rsid w:val="005B14F8"/>
    <w:rsid w:val="005B297A"/>
    <w:rsid w:val="005B6290"/>
    <w:rsid w:val="005B77C1"/>
    <w:rsid w:val="005B7F46"/>
    <w:rsid w:val="005C09A3"/>
    <w:rsid w:val="005C1DF9"/>
    <w:rsid w:val="005C1E22"/>
    <w:rsid w:val="005C259F"/>
    <w:rsid w:val="005C34DE"/>
    <w:rsid w:val="005C395B"/>
    <w:rsid w:val="005C45E7"/>
    <w:rsid w:val="005C56A7"/>
    <w:rsid w:val="005C6084"/>
    <w:rsid w:val="005C74EC"/>
    <w:rsid w:val="005C7B2D"/>
    <w:rsid w:val="005D0D17"/>
    <w:rsid w:val="005D2746"/>
    <w:rsid w:val="005D2749"/>
    <w:rsid w:val="005D3510"/>
    <w:rsid w:val="005D3A67"/>
    <w:rsid w:val="005D46C1"/>
    <w:rsid w:val="005D5212"/>
    <w:rsid w:val="005D5693"/>
    <w:rsid w:val="005D5745"/>
    <w:rsid w:val="005D5839"/>
    <w:rsid w:val="005D5CDC"/>
    <w:rsid w:val="005D5DD2"/>
    <w:rsid w:val="005D5FDC"/>
    <w:rsid w:val="005D6A41"/>
    <w:rsid w:val="005D70FB"/>
    <w:rsid w:val="005D72E5"/>
    <w:rsid w:val="005D7F73"/>
    <w:rsid w:val="005E1459"/>
    <w:rsid w:val="005E170A"/>
    <w:rsid w:val="005E1725"/>
    <w:rsid w:val="005E18F6"/>
    <w:rsid w:val="005E1F26"/>
    <w:rsid w:val="005E2C71"/>
    <w:rsid w:val="005E2E7C"/>
    <w:rsid w:val="005E3D21"/>
    <w:rsid w:val="005E5B3D"/>
    <w:rsid w:val="005E6035"/>
    <w:rsid w:val="005E697B"/>
    <w:rsid w:val="005E726F"/>
    <w:rsid w:val="005E72D1"/>
    <w:rsid w:val="005F0111"/>
    <w:rsid w:val="005F0698"/>
    <w:rsid w:val="005F0AF2"/>
    <w:rsid w:val="005F13D4"/>
    <w:rsid w:val="005F17C9"/>
    <w:rsid w:val="005F1BF1"/>
    <w:rsid w:val="005F3334"/>
    <w:rsid w:val="005F3936"/>
    <w:rsid w:val="005F3B17"/>
    <w:rsid w:val="005F3CAE"/>
    <w:rsid w:val="005F5ABC"/>
    <w:rsid w:val="005F5E53"/>
    <w:rsid w:val="00600172"/>
    <w:rsid w:val="006004B7"/>
    <w:rsid w:val="006034E1"/>
    <w:rsid w:val="0060419F"/>
    <w:rsid w:val="006046EF"/>
    <w:rsid w:val="006056AA"/>
    <w:rsid w:val="00605DA5"/>
    <w:rsid w:val="006060EA"/>
    <w:rsid w:val="00606216"/>
    <w:rsid w:val="0060649D"/>
    <w:rsid w:val="0060747A"/>
    <w:rsid w:val="006076A3"/>
    <w:rsid w:val="006078EA"/>
    <w:rsid w:val="00610A03"/>
    <w:rsid w:val="00611485"/>
    <w:rsid w:val="00611511"/>
    <w:rsid w:val="00611E2A"/>
    <w:rsid w:val="00611FF2"/>
    <w:rsid w:val="00612008"/>
    <w:rsid w:val="006131D2"/>
    <w:rsid w:val="0061390A"/>
    <w:rsid w:val="0061395F"/>
    <w:rsid w:val="006142B6"/>
    <w:rsid w:val="0061614F"/>
    <w:rsid w:val="00616319"/>
    <w:rsid w:val="0061666A"/>
    <w:rsid w:val="006174A3"/>
    <w:rsid w:val="00617B9E"/>
    <w:rsid w:val="00620938"/>
    <w:rsid w:val="00621855"/>
    <w:rsid w:val="00621883"/>
    <w:rsid w:val="00621886"/>
    <w:rsid w:val="00621EA8"/>
    <w:rsid w:val="006222B4"/>
    <w:rsid w:val="00623889"/>
    <w:rsid w:val="00623A35"/>
    <w:rsid w:val="00623BA0"/>
    <w:rsid w:val="00624076"/>
    <w:rsid w:val="006245C5"/>
    <w:rsid w:val="00626C6E"/>
    <w:rsid w:val="00626D6E"/>
    <w:rsid w:val="006300CC"/>
    <w:rsid w:val="006311F2"/>
    <w:rsid w:val="00631509"/>
    <w:rsid w:val="0063168C"/>
    <w:rsid w:val="00632369"/>
    <w:rsid w:val="006327B1"/>
    <w:rsid w:val="00633E1A"/>
    <w:rsid w:val="006341C9"/>
    <w:rsid w:val="00634764"/>
    <w:rsid w:val="00634D35"/>
    <w:rsid w:val="00635C3D"/>
    <w:rsid w:val="00635F6D"/>
    <w:rsid w:val="00636251"/>
    <w:rsid w:val="00636E05"/>
    <w:rsid w:val="00637C68"/>
    <w:rsid w:val="00641A93"/>
    <w:rsid w:val="00642422"/>
    <w:rsid w:val="00642552"/>
    <w:rsid w:val="006425E9"/>
    <w:rsid w:val="00643649"/>
    <w:rsid w:val="00643832"/>
    <w:rsid w:val="006446F7"/>
    <w:rsid w:val="0064627E"/>
    <w:rsid w:val="0064640B"/>
    <w:rsid w:val="0064667B"/>
    <w:rsid w:val="00646D09"/>
    <w:rsid w:val="00650784"/>
    <w:rsid w:val="00650A91"/>
    <w:rsid w:val="006513F4"/>
    <w:rsid w:val="00652DC0"/>
    <w:rsid w:val="00652FC7"/>
    <w:rsid w:val="0065323D"/>
    <w:rsid w:val="0065376B"/>
    <w:rsid w:val="00653FC0"/>
    <w:rsid w:val="006554BA"/>
    <w:rsid w:val="0065709A"/>
    <w:rsid w:val="006572DD"/>
    <w:rsid w:val="00657A86"/>
    <w:rsid w:val="00657E9F"/>
    <w:rsid w:val="00657EF9"/>
    <w:rsid w:val="00660B90"/>
    <w:rsid w:val="00660D20"/>
    <w:rsid w:val="006611FC"/>
    <w:rsid w:val="00661871"/>
    <w:rsid w:val="0066196C"/>
    <w:rsid w:val="006630FB"/>
    <w:rsid w:val="0066457F"/>
    <w:rsid w:val="00665879"/>
    <w:rsid w:val="006667ED"/>
    <w:rsid w:val="006668D5"/>
    <w:rsid w:val="00666C2C"/>
    <w:rsid w:val="006678A1"/>
    <w:rsid w:val="0067067C"/>
    <w:rsid w:val="00670930"/>
    <w:rsid w:val="00670B1D"/>
    <w:rsid w:val="00670B4B"/>
    <w:rsid w:val="00670F65"/>
    <w:rsid w:val="006712EF"/>
    <w:rsid w:val="00671316"/>
    <w:rsid w:val="00671F64"/>
    <w:rsid w:val="006735EF"/>
    <w:rsid w:val="00674634"/>
    <w:rsid w:val="006754F3"/>
    <w:rsid w:val="006757C7"/>
    <w:rsid w:val="00675861"/>
    <w:rsid w:val="00675C0D"/>
    <w:rsid w:val="00675FE8"/>
    <w:rsid w:val="00676730"/>
    <w:rsid w:val="00676BA9"/>
    <w:rsid w:val="006775F3"/>
    <w:rsid w:val="006779D0"/>
    <w:rsid w:val="00680759"/>
    <w:rsid w:val="006807C6"/>
    <w:rsid w:val="00681795"/>
    <w:rsid w:val="00681DE1"/>
    <w:rsid w:val="00682176"/>
    <w:rsid w:val="006823E7"/>
    <w:rsid w:val="00682AE6"/>
    <w:rsid w:val="00682F66"/>
    <w:rsid w:val="0068441D"/>
    <w:rsid w:val="00684A7A"/>
    <w:rsid w:val="00684C6A"/>
    <w:rsid w:val="00684C85"/>
    <w:rsid w:val="00685284"/>
    <w:rsid w:val="00685E4F"/>
    <w:rsid w:val="00686411"/>
    <w:rsid w:val="00686907"/>
    <w:rsid w:val="00686D91"/>
    <w:rsid w:val="00687235"/>
    <w:rsid w:val="00687689"/>
    <w:rsid w:val="0068783D"/>
    <w:rsid w:val="0069141B"/>
    <w:rsid w:val="0069269D"/>
    <w:rsid w:val="00692D00"/>
    <w:rsid w:val="00692D2C"/>
    <w:rsid w:val="00693C89"/>
    <w:rsid w:val="0069459F"/>
    <w:rsid w:val="006948C5"/>
    <w:rsid w:val="00695748"/>
    <w:rsid w:val="00695F29"/>
    <w:rsid w:val="0069629A"/>
    <w:rsid w:val="006965DA"/>
    <w:rsid w:val="006967BB"/>
    <w:rsid w:val="00696EF9"/>
    <w:rsid w:val="00697EB0"/>
    <w:rsid w:val="00697EE3"/>
    <w:rsid w:val="006A0368"/>
    <w:rsid w:val="006A0699"/>
    <w:rsid w:val="006A16D7"/>
    <w:rsid w:val="006A278F"/>
    <w:rsid w:val="006A2918"/>
    <w:rsid w:val="006A3556"/>
    <w:rsid w:val="006A4070"/>
    <w:rsid w:val="006A485D"/>
    <w:rsid w:val="006A6287"/>
    <w:rsid w:val="006A7059"/>
    <w:rsid w:val="006A7AF5"/>
    <w:rsid w:val="006B0A2F"/>
    <w:rsid w:val="006B0F0F"/>
    <w:rsid w:val="006B11E0"/>
    <w:rsid w:val="006B1646"/>
    <w:rsid w:val="006B174A"/>
    <w:rsid w:val="006B1CE2"/>
    <w:rsid w:val="006B250E"/>
    <w:rsid w:val="006B2FB4"/>
    <w:rsid w:val="006B30A1"/>
    <w:rsid w:val="006B3765"/>
    <w:rsid w:val="006B3D41"/>
    <w:rsid w:val="006B3DE7"/>
    <w:rsid w:val="006B400B"/>
    <w:rsid w:val="006B4A46"/>
    <w:rsid w:val="006B50E6"/>
    <w:rsid w:val="006B5344"/>
    <w:rsid w:val="006B5C4E"/>
    <w:rsid w:val="006B620A"/>
    <w:rsid w:val="006B6406"/>
    <w:rsid w:val="006B69F6"/>
    <w:rsid w:val="006B6A6A"/>
    <w:rsid w:val="006C0611"/>
    <w:rsid w:val="006C0C1A"/>
    <w:rsid w:val="006C1109"/>
    <w:rsid w:val="006C240C"/>
    <w:rsid w:val="006C347D"/>
    <w:rsid w:val="006C34EA"/>
    <w:rsid w:val="006C3941"/>
    <w:rsid w:val="006C42F8"/>
    <w:rsid w:val="006C45C3"/>
    <w:rsid w:val="006C6104"/>
    <w:rsid w:val="006C6529"/>
    <w:rsid w:val="006C6605"/>
    <w:rsid w:val="006C6781"/>
    <w:rsid w:val="006C6787"/>
    <w:rsid w:val="006C699A"/>
    <w:rsid w:val="006C7B47"/>
    <w:rsid w:val="006C7C89"/>
    <w:rsid w:val="006D0238"/>
    <w:rsid w:val="006D1C04"/>
    <w:rsid w:val="006D201C"/>
    <w:rsid w:val="006D20A8"/>
    <w:rsid w:val="006D2162"/>
    <w:rsid w:val="006D3F95"/>
    <w:rsid w:val="006D4582"/>
    <w:rsid w:val="006D48A3"/>
    <w:rsid w:val="006D4EA6"/>
    <w:rsid w:val="006D547A"/>
    <w:rsid w:val="006D549C"/>
    <w:rsid w:val="006D5D1B"/>
    <w:rsid w:val="006D6400"/>
    <w:rsid w:val="006D6504"/>
    <w:rsid w:val="006D6E55"/>
    <w:rsid w:val="006D710B"/>
    <w:rsid w:val="006D7680"/>
    <w:rsid w:val="006E05CE"/>
    <w:rsid w:val="006E0A73"/>
    <w:rsid w:val="006E1AE6"/>
    <w:rsid w:val="006E1D01"/>
    <w:rsid w:val="006E2A8E"/>
    <w:rsid w:val="006E3134"/>
    <w:rsid w:val="006E3260"/>
    <w:rsid w:val="006E3510"/>
    <w:rsid w:val="006E364B"/>
    <w:rsid w:val="006E3D88"/>
    <w:rsid w:val="006E4541"/>
    <w:rsid w:val="006E46CD"/>
    <w:rsid w:val="006E60E6"/>
    <w:rsid w:val="006E6696"/>
    <w:rsid w:val="006F0E31"/>
    <w:rsid w:val="006F0FF4"/>
    <w:rsid w:val="006F1957"/>
    <w:rsid w:val="006F2F6E"/>
    <w:rsid w:val="006F2F9E"/>
    <w:rsid w:val="006F2FFE"/>
    <w:rsid w:val="006F35FC"/>
    <w:rsid w:val="006F44D6"/>
    <w:rsid w:val="006F4523"/>
    <w:rsid w:val="006F4789"/>
    <w:rsid w:val="006F4FAA"/>
    <w:rsid w:val="006F4FDF"/>
    <w:rsid w:val="006F5BCB"/>
    <w:rsid w:val="006F6109"/>
    <w:rsid w:val="006F7894"/>
    <w:rsid w:val="007006B7"/>
    <w:rsid w:val="00700C78"/>
    <w:rsid w:val="00700C79"/>
    <w:rsid w:val="00701484"/>
    <w:rsid w:val="007014BF"/>
    <w:rsid w:val="00702B40"/>
    <w:rsid w:val="00702C5A"/>
    <w:rsid w:val="00702EA7"/>
    <w:rsid w:val="00703221"/>
    <w:rsid w:val="00703CA6"/>
    <w:rsid w:val="0070410D"/>
    <w:rsid w:val="00704327"/>
    <w:rsid w:val="00704981"/>
    <w:rsid w:val="00704C2F"/>
    <w:rsid w:val="00705FCF"/>
    <w:rsid w:val="00706C58"/>
    <w:rsid w:val="00706D91"/>
    <w:rsid w:val="0070749D"/>
    <w:rsid w:val="00707B69"/>
    <w:rsid w:val="00707FF6"/>
    <w:rsid w:val="007109C7"/>
    <w:rsid w:val="00710B62"/>
    <w:rsid w:val="00711434"/>
    <w:rsid w:val="00711BF8"/>
    <w:rsid w:val="00711C47"/>
    <w:rsid w:val="007128EC"/>
    <w:rsid w:val="007136F5"/>
    <w:rsid w:val="00713F39"/>
    <w:rsid w:val="007140B3"/>
    <w:rsid w:val="00714573"/>
    <w:rsid w:val="007146FC"/>
    <w:rsid w:val="0071509B"/>
    <w:rsid w:val="0071509D"/>
    <w:rsid w:val="0071524E"/>
    <w:rsid w:val="00715890"/>
    <w:rsid w:val="00715E6B"/>
    <w:rsid w:val="007171B1"/>
    <w:rsid w:val="007171DF"/>
    <w:rsid w:val="0071761B"/>
    <w:rsid w:val="00720EE3"/>
    <w:rsid w:val="00721030"/>
    <w:rsid w:val="00721FCA"/>
    <w:rsid w:val="00722AAA"/>
    <w:rsid w:val="007232CA"/>
    <w:rsid w:val="007232F0"/>
    <w:rsid w:val="0072351E"/>
    <w:rsid w:val="007238A0"/>
    <w:rsid w:val="00723D3E"/>
    <w:rsid w:val="00724345"/>
    <w:rsid w:val="00724B31"/>
    <w:rsid w:val="00724CA2"/>
    <w:rsid w:val="00726D00"/>
    <w:rsid w:val="00727433"/>
    <w:rsid w:val="007309D3"/>
    <w:rsid w:val="00731E06"/>
    <w:rsid w:val="00731EEA"/>
    <w:rsid w:val="00733237"/>
    <w:rsid w:val="00733518"/>
    <w:rsid w:val="007335F8"/>
    <w:rsid w:val="007337E6"/>
    <w:rsid w:val="00733905"/>
    <w:rsid w:val="00733C72"/>
    <w:rsid w:val="0073411E"/>
    <w:rsid w:val="0073484F"/>
    <w:rsid w:val="0073498E"/>
    <w:rsid w:val="00734EE7"/>
    <w:rsid w:val="0073511A"/>
    <w:rsid w:val="00735337"/>
    <w:rsid w:val="00735E63"/>
    <w:rsid w:val="00735EC3"/>
    <w:rsid w:val="00736175"/>
    <w:rsid w:val="00737283"/>
    <w:rsid w:val="0074060B"/>
    <w:rsid w:val="00740C08"/>
    <w:rsid w:val="00740D32"/>
    <w:rsid w:val="00740FEC"/>
    <w:rsid w:val="00742297"/>
    <w:rsid w:val="00742F72"/>
    <w:rsid w:val="007438F3"/>
    <w:rsid w:val="00743D75"/>
    <w:rsid w:val="00744271"/>
    <w:rsid w:val="00744932"/>
    <w:rsid w:val="00744D77"/>
    <w:rsid w:val="00744F9A"/>
    <w:rsid w:val="0074697C"/>
    <w:rsid w:val="00746D28"/>
    <w:rsid w:val="00746EFC"/>
    <w:rsid w:val="007471C9"/>
    <w:rsid w:val="00747AD3"/>
    <w:rsid w:val="00747BC7"/>
    <w:rsid w:val="00750E7A"/>
    <w:rsid w:val="007519FF"/>
    <w:rsid w:val="0075247F"/>
    <w:rsid w:val="00752BB3"/>
    <w:rsid w:val="007532FC"/>
    <w:rsid w:val="0075412E"/>
    <w:rsid w:val="00754434"/>
    <w:rsid w:val="0075489E"/>
    <w:rsid w:val="007560A2"/>
    <w:rsid w:val="00756C5D"/>
    <w:rsid w:val="00756C86"/>
    <w:rsid w:val="00756D17"/>
    <w:rsid w:val="0075701F"/>
    <w:rsid w:val="00757398"/>
    <w:rsid w:val="0075765F"/>
    <w:rsid w:val="00761B00"/>
    <w:rsid w:val="00762C7D"/>
    <w:rsid w:val="00762E15"/>
    <w:rsid w:val="00762FBA"/>
    <w:rsid w:val="00763C9F"/>
    <w:rsid w:val="00763DCE"/>
    <w:rsid w:val="00763DDA"/>
    <w:rsid w:val="007640E5"/>
    <w:rsid w:val="007647D4"/>
    <w:rsid w:val="00764927"/>
    <w:rsid w:val="007657FA"/>
    <w:rsid w:val="00765A6E"/>
    <w:rsid w:val="00765BC6"/>
    <w:rsid w:val="00765EBF"/>
    <w:rsid w:val="00766219"/>
    <w:rsid w:val="00766574"/>
    <w:rsid w:val="00767793"/>
    <w:rsid w:val="0077018C"/>
    <w:rsid w:val="007705AC"/>
    <w:rsid w:val="007705D9"/>
    <w:rsid w:val="00770C1B"/>
    <w:rsid w:val="007711B8"/>
    <w:rsid w:val="0077289B"/>
    <w:rsid w:val="00773091"/>
    <w:rsid w:val="00773884"/>
    <w:rsid w:val="007747B3"/>
    <w:rsid w:val="00774FAB"/>
    <w:rsid w:val="007752CC"/>
    <w:rsid w:val="00775368"/>
    <w:rsid w:val="00775597"/>
    <w:rsid w:val="0077598D"/>
    <w:rsid w:val="00775FBB"/>
    <w:rsid w:val="007763AE"/>
    <w:rsid w:val="00776D32"/>
    <w:rsid w:val="007775CC"/>
    <w:rsid w:val="00780D19"/>
    <w:rsid w:val="007810A3"/>
    <w:rsid w:val="00782542"/>
    <w:rsid w:val="00782694"/>
    <w:rsid w:val="00784224"/>
    <w:rsid w:val="007843DE"/>
    <w:rsid w:val="007848A4"/>
    <w:rsid w:val="00784AE9"/>
    <w:rsid w:val="007853F1"/>
    <w:rsid w:val="0078558C"/>
    <w:rsid w:val="00785B4F"/>
    <w:rsid w:val="0078650A"/>
    <w:rsid w:val="0078739B"/>
    <w:rsid w:val="007874B0"/>
    <w:rsid w:val="00787574"/>
    <w:rsid w:val="00787C33"/>
    <w:rsid w:val="00787E53"/>
    <w:rsid w:val="0079043B"/>
    <w:rsid w:val="00790977"/>
    <w:rsid w:val="00790C2C"/>
    <w:rsid w:val="00791306"/>
    <w:rsid w:val="00792023"/>
    <w:rsid w:val="007943EB"/>
    <w:rsid w:val="00794607"/>
    <w:rsid w:val="00794982"/>
    <w:rsid w:val="0079666E"/>
    <w:rsid w:val="007A09F2"/>
    <w:rsid w:val="007A0CDE"/>
    <w:rsid w:val="007A1816"/>
    <w:rsid w:val="007A21F3"/>
    <w:rsid w:val="007A21F9"/>
    <w:rsid w:val="007A2420"/>
    <w:rsid w:val="007A2A0B"/>
    <w:rsid w:val="007A40F4"/>
    <w:rsid w:val="007A5666"/>
    <w:rsid w:val="007A5F5B"/>
    <w:rsid w:val="007A6162"/>
    <w:rsid w:val="007A61CD"/>
    <w:rsid w:val="007A6A1C"/>
    <w:rsid w:val="007A7AB2"/>
    <w:rsid w:val="007B010E"/>
    <w:rsid w:val="007B0AF0"/>
    <w:rsid w:val="007B1941"/>
    <w:rsid w:val="007B1994"/>
    <w:rsid w:val="007B21D1"/>
    <w:rsid w:val="007B2CAA"/>
    <w:rsid w:val="007B2D67"/>
    <w:rsid w:val="007B2DA7"/>
    <w:rsid w:val="007B37AD"/>
    <w:rsid w:val="007B3AAD"/>
    <w:rsid w:val="007B3F55"/>
    <w:rsid w:val="007B4688"/>
    <w:rsid w:val="007B4D99"/>
    <w:rsid w:val="007B57EF"/>
    <w:rsid w:val="007B599B"/>
    <w:rsid w:val="007B5EA3"/>
    <w:rsid w:val="007B5EA7"/>
    <w:rsid w:val="007B5EFF"/>
    <w:rsid w:val="007B5F3C"/>
    <w:rsid w:val="007B6ED4"/>
    <w:rsid w:val="007C012A"/>
    <w:rsid w:val="007C0513"/>
    <w:rsid w:val="007C24F3"/>
    <w:rsid w:val="007C26D3"/>
    <w:rsid w:val="007C2731"/>
    <w:rsid w:val="007C2797"/>
    <w:rsid w:val="007C2ABC"/>
    <w:rsid w:val="007C40FA"/>
    <w:rsid w:val="007C42D6"/>
    <w:rsid w:val="007C437E"/>
    <w:rsid w:val="007C613C"/>
    <w:rsid w:val="007C6595"/>
    <w:rsid w:val="007C660E"/>
    <w:rsid w:val="007C6ABE"/>
    <w:rsid w:val="007C7002"/>
    <w:rsid w:val="007C7A0F"/>
    <w:rsid w:val="007D0314"/>
    <w:rsid w:val="007D055B"/>
    <w:rsid w:val="007D0696"/>
    <w:rsid w:val="007D229C"/>
    <w:rsid w:val="007D35AA"/>
    <w:rsid w:val="007D3CDC"/>
    <w:rsid w:val="007D3F34"/>
    <w:rsid w:val="007D4CC1"/>
    <w:rsid w:val="007D4E6C"/>
    <w:rsid w:val="007D50FF"/>
    <w:rsid w:val="007D538B"/>
    <w:rsid w:val="007D6084"/>
    <w:rsid w:val="007D66D9"/>
    <w:rsid w:val="007D707B"/>
    <w:rsid w:val="007E0275"/>
    <w:rsid w:val="007E161D"/>
    <w:rsid w:val="007E30A1"/>
    <w:rsid w:val="007E369E"/>
    <w:rsid w:val="007E36F7"/>
    <w:rsid w:val="007E390B"/>
    <w:rsid w:val="007E48B1"/>
    <w:rsid w:val="007E4A6E"/>
    <w:rsid w:val="007E527B"/>
    <w:rsid w:val="007E5663"/>
    <w:rsid w:val="007E57BB"/>
    <w:rsid w:val="007E5A4C"/>
    <w:rsid w:val="007E67CE"/>
    <w:rsid w:val="007E7A59"/>
    <w:rsid w:val="007E7CBD"/>
    <w:rsid w:val="007F01E6"/>
    <w:rsid w:val="007F07BE"/>
    <w:rsid w:val="007F2431"/>
    <w:rsid w:val="007F2F51"/>
    <w:rsid w:val="007F320B"/>
    <w:rsid w:val="007F46D5"/>
    <w:rsid w:val="007F4BA2"/>
    <w:rsid w:val="007F4EF5"/>
    <w:rsid w:val="007F569D"/>
    <w:rsid w:val="007F6696"/>
    <w:rsid w:val="007F6FC4"/>
    <w:rsid w:val="007F73B5"/>
    <w:rsid w:val="007F79FE"/>
    <w:rsid w:val="007F7AFE"/>
    <w:rsid w:val="00800F9D"/>
    <w:rsid w:val="00801E80"/>
    <w:rsid w:val="00801FFF"/>
    <w:rsid w:val="00803242"/>
    <w:rsid w:val="00803416"/>
    <w:rsid w:val="0080375F"/>
    <w:rsid w:val="00803A59"/>
    <w:rsid w:val="00803F85"/>
    <w:rsid w:val="00804CC0"/>
    <w:rsid w:val="00805487"/>
    <w:rsid w:val="00806273"/>
    <w:rsid w:val="00806356"/>
    <w:rsid w:val="00806576"/>
    <w:rsid w:val="0080663B"/>
    <w:rsid w:val="00806D78"/>
    <w:rsid w:val="0080758F"/>
    <w:rsid w:val="00807BD5"/>
    <w:rsid w:val="0081113A"/>
    <w:rsid w:val="008126A7"/>
    <w:rsid w:val="008127A9"/>
    <w:rsid w:val="00812D47"/>
    <w:rsid w:val="00813355"/>
    <w:rsid w:val="008135AD"/>
    <w:rsid w:val="00814820"/>
    <w:rsid w:val="00814AC8"/>
    <w:rsid w:val="00821067"/>
    <w:rsid w:val="00821377"/>
    <w:rsid w:val="00821C85"/>
    <w:rsid w:val="008220B6"/>
    <w:rsid w:val="008223F3"/>
    <w:rsid w:val="00822514"/>
    <w:rsid w:val="008247B4"/>
    <w:rsid w:val="008256ED"/>
    <w:rsid w:val="00825B32"/>
    <w:rsid w:val="00826214"/>
    <w:rsid w:val="00827262"/>
    <w:rsid w:val="0082796D"/>
    <w:rsid w:val="00830574"/>
    <w:rsid w:val="008315D6"/>
    <w:rsid w:val="00832163"/>
    <w:rsid w:val="008324C4"/>
    <w:rsid w:val="00832FA5"/>
    <w:rsid w:val="00832FA9"/>
    <w:rsid w:val="0083389C"/>
    <w:rsid w:val="00834396"/>
    <w:rsid w:val="008344EC"/>
    <w:rsid w:val="008353A7"/>
    <w:rsid w:val="0083572B"/>
    <w:rsid w:val="008361FF"/>
    <w:rsid w:val="0083649F"/>
    <w:rsid w:val="00837429"/>
    <w:rsid w:val="00841AA3"/>
    <w:rsid w:val="0084225E"/>
    <w:rsid w:val="00843471"/>
    <w:rsid w:val="00843899"/>
    <w:rsid w:val="00843B04"/>
    <w:rsid w:val="00844193"/>
    <w:rsid w:val="00844B32"/>
    <w:rsid w:val="008450A2"/>
    <w:rsid w:val="0084539C"/>
    <w:rsid w:val="00845B05"/>
    <w:rsid w:val="00845E0D"/>
    <w:rsid w:val="0084605C"/>
    <w:rsid w:val="0084665D"/>
    <w:rsid w:val="008476D7"/>
    <w:rsid w:val="0085005D"/>
    <w:rsid w:val="00850207"/>
    <w:rsid w:val="00851131"/>
    <w:rsid w:val="0085188B"/>
    <w:rsid w:val="008519B7"/>
    <w:rsid w:val="00851B20"/>
    <w:rsid w:val="00852269"/>
    <w:rsid w:val="00852494"/>
    <w:rsid w:val="008525C1"/>
    <w:rsid w:val="00853188"/>
    <w:rsid w:val="008531E6"/>
    <w:rsid w:val="008543ED"/>
    <w:rsid w:val="008548EC"/>
    <w:rsid w:val="00854C47"/>
    <w:rsid w:val="00854C7E"/>
    <w:rsid w:val="00854E27"/>
    <w:rsid w:val="008551DE"/>
    <w:rsid w:val="0085527E"/>
    <w:rsid w:val="0085558F"/>
    <w:rsid w:val="008560FD"/>
    <w:rsid w:val="00856637"/>
    <w:rsid w:val="00856F0B"/>
    <w:rsid w:val="0086011B"/>
    <w:rsid w:val="00860912"/>
    <w:rsid w:val="00860A23"/>
    <w:rsid w:val="00861191"/>
    <w:rsid w:val="00861950"/>
    <w:rsid w:val="00863490"/>
    <w:rsid w:val="0086619D"/>
    <w:rsid w:val="008666C5"/>
    <w:rsid w:val="00867408"/>
    <w:rsid w:val="00870FF1"/>
    <w:rsid w:val="008710C5"/>
    <w:rsid w:val="00871A69"/>
    <w:rsid w:val="00871E7C"/>
    <w:rsid w:val="00871F9D"/>
    <w:rsid w:val="00872135"/>
    <w:rsid w:val="0087280E"/>
    <w:rsid w:val="00873CA9"/>
    <w:rsid w:val="00873DB3"/>
    <w:rsid w:val="008749B9"/>
    <w:rsid w:val="00874C7E"/>
    <w:rsid w:val="00876465"/>
    <w:rsid w:val="0087665F"/>
    <w:rsid w:val="00876C7E"/>
    <w:rsid w:val="00877046"/>
    <w:rsid w:val="00880013"/>
    <w:rsid w:val="008805FC"/>
    <w:rsid w:val="0088079D"/>
    <w:rsid w:val="00880C72"/>
    <w:rsid w:val="00881DBC"/>
    <w:rsid w:val="00881FE6"/>
    <w:rsid w:val="00883536"/>
    <w:rsid w:val="00883CE7"/>
    <w:rsid w:val="00883E6A"/>
    <w:rsid w:val="00884466"/>
    <w:rsid w:val="008846E7"/>
    <w:rsid w:val="008846FC"/>
    <w:rsid w:val="008859D6"/>
    <w:rsid w:val="008862DB"/>
    <w:rsid w:val="00886DBC"/>
    <w:rsid w:val="008875A2"/>
    <w:rsid w:val="00887740"/>
    <w:rsid w:val="00891161"/>
    <w:rsid w:val="0089161B"/>
    <w:rsid w:val="0089168A"/>
    <w:rsid w:val="00891C47"/>
    <w:rsid w:val="00893C1A"/>
    <w:rsid w:val="0089520C"/>
    <w:rsid w:val="00895C22"/>
    <w:rsid w:val="00896044"/>
    <w:rsid w:val="008967DD"/>
    <w:rsid w:val="008970BE"/>
    <w:rsid w:val="008975B2"/>
    <w:rsid w:val="0089785B"/>
    <w:rsid w:val="00897F81"/>
    <w:rsid w:val="008A058B"/>
    <w:rsid w:val="008A097A"/>
    <w:rsid w:val="008A0CC2"/>
    <w:rsid w:val="008A12D4"/>
    <w:rsid w:val="008A1899"/>
    <w:rsid w:val="008A22D6"/>
    <w:rsid w:val="008A274D"/>
    <w:rsid w:val="008A2CDB"/>
    <w:rsid w:val="008A2FB2"/>
    <w:rsid w:val="008A3485"/>
    <w:rsid w:val="008A3B2A"/>
    <w:rsid w:val="008A47DE"/>
    <w:rsid w:val="008A4CAE"/>
    <w:rsid w:val="008A551F"/>
    <w:rsid w:val="008A5B4E"/>
    <w:rsid w:val="008A7559"/>
    <w:rsid w:val="008B13A9"/>
    <w:rsid w:val="008B17BC"/>
    <w:rsid w:val="008B17C4"/>
    <w:rsid w:val="008B1CCD"/>
    <w:rsid w:val="008B3293"/>
    <w:rsid w:val="008B3365"/>
    <w:rsid w:val="008B340C"/>
    <w:rsid w:val="008B3775"/>
    <w:rsid w:val="008B445B"/>
    <w:rsid w:val="008B45ED"/>
    <w:rsid w:val="008B4848"/>
    <w:rsid w:val="008B4B24"/>
    <w:rsid w:val="008B4BA2"/>
    <w:rsid w:val="008B59D6"/>
    <w:rsid w:val="008B5C87"/>
    <w:rsid w:val="008B6C9D"/>
    <w:rsid w:val="008B6F64"/>
    <w:rsid w:val="008B7A4C"/>
    <w:rsid w:val="008C08A6"/>
    <w:rsid w:val="008C0D04"/>
    <w:rsid w:val="008C1259"/>
    <w:rsid w:val="008C1655"/>
    <w:rsid w:val="008C1AAD"/>
    <w:rsid w:val="008C1F4F"/>
    <w:rsid w:val="008C2EC4"/>
    <w:rsid w:val="008C3B1F"/>
    <w:rsid w:val="008C3EB4"/>
    <w:rsid w:val="008C49D7"/>
    <w:rsid w:val="008C4D86"/>
    <w:rsid w:val="008C6385"/>
    <w:rsid w:val="008C67DC"/>
    <w:rsid w:val="008C6CB9"/>
    <w:rsid w:val="008C74C2"/>
    <w:rsid w:val="008C7F8D"/>
    <w:rsid w:val="008D0643"/>
    <w:rsid w:val="008D116E"/>
    <w:rsid w:val="008D1566"/>
    <w:rsid w:val="008D2809"/>
    <w:rsid w:val="008D2E34"/>
    <w:rsid w:val="008D6BA2"/>
    <w:rsid w:val="008D7003"/>
    <w:rsid w:val="008E067B"/>
    <w:rsid w:val="008E06AF"/>
    <w:rsid w:val="008E0D76"/>
    <w:rsid w:val="008E0DC7"/>
    <w:rsid w:val="008E2097"/>
    <w:rsid w:val="008E2C65"/>
    <w:rsid w:val="008E2E02"/>
    <w:rsid w:val="008E4201"/>
    <w:rsid w:val="008E4E3C"/>
    <w:rsid w:val="008E51FA"/>
    <w:rsid w:val="008E585C"/>
    <w:rsid w:val="008E6BA3"/>
    <w:rsid w:val="008F0D9C"/>
    <w:rsid w:val="008F0E32"/>
    <w:rsid w:val="008F0FDA"/>
    <w:rsid w:val="008F1548"/>
    <w:rsid w:val="008F28D1"/>
    <w:rsid w:val="008F2C34"/>
    <w:rsid w:val="008F3860"/>
    <w:rsid w:val="008F3F65"/>
    <w:rsid w:val="008F483D"/>
    <w:rsid w:val="008F53DD"/>
    <w:rsid w:val="008F5EF7"/>
    <w:rsid w:val="008F6088"/>
    <w:rsid w:val="008F6538"/>
    <w:rsid w:val="008F75EA"/>
    <w:rsid w:val="008F781F"/>
    <w:rsid w:val="008F7904"/>
    <w:rsid w:val="00900F9A"/>
    <w:rsid w:val="00901744"/>
    <w:rsid w:val="00901A12"/>
    <w:rsid w:val="00901E1C"/>
    <w:rsid w:val="009021AB"/>
    <w:rsid w:val="009022F7"/>
    <w:rsid w:val="00903520"/>
    <w:rsid w:val="00903795"/>
    <w:rsid w:val="00904605"/>
    <w:rsid w:val="0090524B"/>
    <w:rsid w:val="00906741"/>
    <w:rsid w:val="00906C4A"/>
    <w:rsid w:val="009074C1"/>
    <w:rsid w:val="00907B5D"/>
    <w:rsid w:val="009103B0"/>
    <w:rsid w:val="00910546"/>
    <w:rsid w:val="00911BC8"/>
    <w:rsid w:val="0091228A"/>
    <w:rsid w:val="009126F0"/>
    <w:rsid w:val="00912B00"/>
    <w:rsid w:val="009134D8"/>
    <w:rsid w:val="0091375C"/>
    <w:rsid w:val="00913BE9"/>
    <w:rsid w:val="009149FD"/>
    <w:rsid w:val="00914D10"/>
    <w:rsid w:val="0091638C"/>
    <w:rsid w:val="009166A0"/>
    <w:rsid w:val="00916CFE"/>
    <w:rsid w:val="00917AF8"/>
    <w:rsid w:val="00917BD9"/>
    <w:rsid w:val="009200B4"/>
    <w:rsid w:val="00920100"/>
    <w:rsid w:val="0092288F"/>
    <w:rsid w:val="00922AA4"/>
    <w:rsid w:val="00923F36"/>
    <w:rsid w:val="0092417F"/>
    <w:rsid w:val="00924EC4"/>
    <w:rsid w:val="00925081"/>
    <w:rsid w:val="00925D31"/>
    <w:rsid w:val="00925F29"/>
    <w:rsid w:val="0092718A"/>
    <w:rsid w:val="009306E0"/>
    <w:rsid w:val="00930965"/>
    <w:rsid w:val="00930B85"/>
    <w:rsid w:val="0093255A"/>
    <w:rsid w:val="00932C60"/>
    <w:rsid w:val="00932FBC"/>
    <w:rsid w:val="00933D34"/>
    <w:rsid w:val="009340A8"/>
    <w:rsid w:val="00934866"/>
    <w:rsid w:val="00934CD4"/>
    <w:rsid w:val="009372ED"/>
    <w:rsid w:val="009374EE"/>
    <w:rsid w:val="009377CE"/>
    <w:rsid w:val="009406B5"/>
    <w:rsid w:val="00940A00"/>
    <w:rsid w:val="00940A3F"/>
    <w:rsid w:val="009429B9"/>
    <w:rsid w:val="00943E21"/>
    <w:rsid w:val="00944779"/>
    <w:rsid w:val="00944C04"/>
    <w:rsid w:val="009450D2"/>
    <w:rsid w:val="009467B6"/>
    <w:rsid w:val="00946E4C"/>
    <w:rsid w:val="009471D4"/>
    <w:rsid w:val="00947904"/>
    <w:rsid w:val="009516B6"/>
    <w:rsid w:val="0095232E"/>
    <w:rsid w:val="00952B50"/>
    <w:rsid w:val="00953125"/>
    <w:rsid w:val="009531D4"/>
    <w:rsid w:val="0095351D"/>
    <w:rsid w:val="009543B9"/>
    <w:rsid w:val="009546F0"/>
    <w:rsid w:val="00954B84"/>
    <w:rsid w:val="009564DC"/>
    <w:rsid w:val="00956FC4"/>
    <w:rsid w:val="00957A4F"/>
    <w:rsid w:val="00957A82"/>
    <w:rsid w:val="00957FB9"/>
    <w:rsid w:val="0096009C"/>
    <w:rsid w:val="009608BD"/>
    <w:rsid w:val="009617A7"/>
    <w:rsid w:val="00962709"/>
    <w:rsid w:val="00962AF0"/>
    <w:rsid w:val="00962F5C"/>
    <w:rsid w:val="00963081"/>
    <w:rsid w:val="00963988"/>
    <w:rsid w:val="00963D32"/>
    <w:rsid w:val="0096488C"/>
    <w:rsid w:val="00964AFE"/>
    <w:rsid w:val="00964CC8"/>
    <w:rsid w:val="00964DF3"/>
    <w:rsid w:val="00964FE0"/>
    <w:rsid w:val="009652AD"/>
    <w:rsid w:val="009656B6"/>
    <w:rsid w:val="00965F67"/>
    <w:rsid w:val="009669D5"/>
    <w:rsid w:val="009677D9"/>
    <w:rsid w:val="00967F9A"/>
    <w:rsid w:val="00970618"/>
    <w:rsid w:val="00970A32"/>
    <w:rsid w:val="0097197F"/>
    <w:rsid w:val="00971A86"/>
    <w:rsid w:val="009721A7"/>
    <w:rsid w:val="00972CF9"/>
    <w:rsid w:val="00972D56"/>
    <w:rsid w:val="009739D0"/>
    <w:rsid w:val="00975C55"/>
    <w:rsid w:val="009761EB"/>
    <w:rsid w:val="00980116"/>
    <w:rsid w:val="00980B29"/>
    <w:rsid w:val="00980E0B"/>
    <w:rsid w:val="00981F4C"/>
    <w:rsid w:val="009830BB"/>
    <w:rsid w:val="0098358D"/>
    <w:rsid w:val="00983830"/>
    <w:rsid w:val="00983BF3"/>
    <w:rsid w:val="00984001"/>
    <w:rsid w:val="009846CE"/>
    <w:rsid w:val="00984889"/>
    <w:rsid w:val="00984987"/>
    <w:rsid w:val="00984DBB"/>
    <w:rsid w:val="00984E99"/>
    <w:rsid w:val="0098519D"/>
    <w:rsid w:val="00985461"/>
    <w:rsid w:val="00985C1E"/>
    <w:rsid w:val="00986566"/>
    <w:rsid w:val="00986D21"/>
    <w:rsid w:val="00986F68"/>
    <w:rsid w:val="00987222"/>
    <w:rsid w:val="00987A34"/>
    <w:rsid w:val="0099031B"/>
    <w:rsid w:val="00990AE2"/>
    <w:rsid w:val="00990F37"/>
    <w:rsid w:val="0099186E"/>
    <w:rsid w:val="00991EB8"/>
    <w:rsid w:val="00992910"/>
    <w:rsid w:val="00993529"/>
    <w:rsid w:val="009936C3"/>
    <w:rsid w:val="009936E0"/>
    <w:rsid w:val="00993E57"/>
    <w:rsid w:val="00994F67"/>
    <w:rsid w:val="0099543F"/>
    <w:rsid w:val="0099584F"/>
    <w:rsid w:val="00995F23"/>
    <w:rsid w:val="00996353"/>
    <w:rsid w:val="0099676A"/>
    <w:rsid w:val="00996E1B"/>
    <w:rsid w:val="00996E6E"/>
    <w:rsid w:val="0099737C"/>
    <w:rsid w:val="009A09D8"/>
    <w:rsid w:val="009A1190"/>
    <w:rsid w:val="009A1305"/>
    <w:rsid w:val="009A15DF"/>
    <w:rsid w:val="009A27F8"/>
    <w:rsid w:val="009A2B20"/>
    <w:rsid w:val="009A2F1F"/>
    <w:rsid w:val="009A2F88"/>
    <w:rsid w:val="009A394C"/>
    <w:rsid w:val="009A4430"/>
    <w:rsid w:val="009A49BD"/>
    <w:rsid w:val="009A4A5B"/>
    <w:rsid w:val="009A59EF"/>
    <w:rsid w:val="009A6D17"/>
    <w:rsid w:val="009A7440"/>
    <w:rsid w:val="009A76FA"/>
    <w:rsid w:val="009B02AA"/>
    <w:rsid w:val="009B0351"/>
    <w:rsid w:val="009B0649"/>
    <w:rsid w:val="009B0AD8"/>
    <w:rsid w:val="009B0B4F"/>
    <w:rsid w:val="009B1395"/>
    <w:rsid w:val="009B16E6"/>
    <w:rsid w:val="009B1F28"/>
    <w:rsid w:val="009B24A9"/>
    <w:rsid w:val="009B27AA"/>
    <w:rsid w:val="009B2824"/>
    <w:rsid w:val="009B3A70"/>
    <w:rsid w:val="009B4DDF"/>
    <w:rsid w:val="009B4F52"/>
    <w:rsid w:val="009B54D0"/>
    <w:rsid w:val="009B5D6F"/>
    <w:rsid w:val="009B606A"/>
    <w:rsid w:val="009B67AB"/>
    <w:rsid w:val="009C00CE"/>
    <w:rsid w:val="009C0647"/>
    <w:rsid w:val="009C0B8C"/>
    <w:rsid w:val="009C1349"/>
    <w:rsid w:val="009C15FE"/>
    <w:rsid w:val="009C1936"/>
    <w:rsid w:val="009C2C8D"/>
    <w:rsid w:val="009C3007"/>
    <w:rsid w:val="009C36FC"/>
    <w:rsid w:val="009C4B1C"/>
    <w:rsid w:val="009C4C6E"/>
    <w:rsid w:val="009C4DE4"/>
    <w:rsid w:val="009C5491"/>
    <w:rsid w:val="009C5B3C"/>
    <w:rsid w:val="009C76C5"/>
    <w:rsid w:val="009C7B5A"/>
    <w:rsid w:val="009C7C1B"/>
    <w:rsid w:val="009C7DBE"/>
    <w:rsid w:val="009C7E37"/>
    <w:rsid w:val="009C7F78"/>
    <w:rsid w:val="009D1467"/>
    <w:rsid w:val="009D1E40"/>
    <w:rsid w:val="009D1E6B"/>
    <w:rsid w:val="009D2802"/>
    <w:rsid w:val="009D2F17"/>
    <w:rsid w:val="009D3C92"/>
    <w:rsid w:val="009D4AD9"/>
    <w:rsid w:val="009D677E"/>
    <w:rsid w:val="009D6D84"/>
    <w:rsid w:val="009D76D2"/>
    <w:rsid w:val="009E05D9"/>
    <w:rsid w:val="009E1937"/>
    <w:rsid w:val="009E22A9"/>
    <w:rsid w:val="009E3B5E"/>
    <w:rsid w:val="009E5AF8"/>
    <w:rsid w:val="009E5C40"/>
    <w:rsid w:val="009E6038"/>
    <w:rsid w:val="009E640C"/>
    <w:rsid w:val="009E696C"/>
    <w:rsid w:val="009E7498"/>
    <w:rsid w:val="009E7943"/>
    <w:rsid w:val="009F03BF"/>
    <w:rsid w:val="009F23D0"/>
    <w:rsid w:val="009F26D0"/>
    <w:rsid w:val="009F2FB9"/>
    <w:rsid w:val="009F3E86"/>
    <w:rsid w:val="009F4184"/>
    <w:rsid w:val="009F4B07"/>
    <w:rsid w:val="009F5D88"/>
    <w:rsid w:val="009F5F9C"/>
    <w:rsid w:val="009F6BFC"/>
    <w:rsid w:val="009F6F28"/>
    <w:rsid w:val="009F778E"/>
    <w:rsid w:val="00A0184F"/>
    <w:rsid w:val="00A01C43"/>
    <w:rsid w:val="00A03D57"/>
    <w:rsid w:val="00A0469F"/>
    <w:rsid w:val="00A050EC"/>
    <w:rsid w:val="00A052DF"/>
    <w:rsid w:val="00A06654"/>
    <w:rsid w:val="00A07C45"/>
    <w:rsid w:val="00A10413"/>
    <w:rsid w:val="00A10BE1"/>
    <w:rsid w:val="00A10D72"/>
    <w:rsid w:val="00A112C8"/>
    <w:rsid w:val="00A1189D"/>
    <w:rsid w:val="00A118EF"/>
    <w:rsid w:val="00A1196D"/>
    <w:rsid w:val="00A11C83"/>
    <w:rsid w:val="00A12F3D"/>
    <w:rsid w:val="00A1440B"/>
    <w:rsid w:val="00A15CA9"/>
    <w:rsid w:val="00A15FAF"/>
    <w:rsid w:val="00A16767"/>
    <w:rsid w:val="00A20396"/>
    <w:rsid w:val="00A2093B"/>
    <w:rsid w:val="00A22055"/>
    <w:rsid w:val="00A222F1"/>
    <w:rsid w:val="00A23710"/>
    <w:rsid w:val="00A23B46"/>
    <w:rsid w:val="00A248C4"/>
    <w:rsid w:val="00A24E11"/>
    <w:rsid w:val="00A25BB9"/>
    <w:rsid w:val="00A276E9"/>
    <w:rsid w:val="00A3024D"/>
    <w:rsid w:val="00A310C5"/>
    <w:rsid w:val="00A312E9"/>
    <w:rsid w:val="00A31C1E"/>
    <w:rsid w:val="00A31C73"/>
    <w:rsid w:val="00A3320E"/>
    <w:rsid w:val="00A34BCD"/>
    <w:rsid w:val="00A364B4"/>
    <w:rsid w:val="00A36937"/>
    <w:rsid w:val="00A370BF"/>
    <w:rsid w:val="00A378BB"/>
    <w:rsid w:val="00A37FB7"/>
    <w:rsid w:val="00A40CFA"/>
    <w:rsid w:val="00A40EA4"/>
    <w:rsid w:val="00A4332A"/>
    <w:rsid w:val="00A435CF"/>
    <w:rsid w:val="00A4440D"/>
    <w:rsid w:val="00A450BD"/>
    <w:rsid w:val="00A46AD9"/>
    <w:rsid w:val="00A476BF"/>
    <w:rsid w:val="00A47EE1"/>
    <w:rsid w:val="00A50A35"/>
    <w:rsid w:val="00A50CAB"/>
    <w:rsid w:val="00A50FB0"/>
    <w:rsid w:val="00A511E9"/>
    <w:rsid w:val="00A5169C"/>
    <w:rsid w:val="00A51741"/>
    <w:rsid w:val="00A5286C"/>
    <w:rsid w:val="00A53C2D"/>
    <w:rsid w:val="00A54019"/>
    <w:rsid w:val="00A549E7"/>
    <w:rsid w:val="00A554E4"/>
    <w:rsid w:val="00A55FEA"/>
    <w:rsid w:val="00A5655C"/>
    <w:rsid w:val="00A56B7B"/>
    <w:rsid w:val="00A57152"/>
    <w:rsid w:val="00A57C60"/>
    <w:rsid w:val="00A600AD"/>
    <w:rsid w:val="00A6063A"/>
    <w:rsid w:val="00A60809"/>
    <w:rsid w:val="00A60BF0"/>
    <w:rsid w:val="00A60F61"/>
    <w:rsid w:val="00A61081"/>
    <w:rsid w:val="00A6120C"/>
    <w:rsid w:val="00A621BB"/>
    <w:rsid w:val="00A63FA5"/>
    <w:rsid w:val="00A64851"/>
    <w:rsid w:val="00A6594C"/>
    <w:rsid w:val="00A659C0"/>
    <w:rsid w:val="00A65F88"/>
    <w:rsid w:val="00A66532"/>
    <w:rsid w:val="00A668FC"/>
    <w:rsid w:val="00A67C0C"/>
    <w:rsid w:val="00A7130F"/>
    <w:rsid w:val="00A714B9"/>
    <w:rsid w:val="00A71956"/>
    <w:rsid w:val="00A72AB9"/>
    <w:rsid w:val="00A7474F"/>
    <w:rsid w:val="00A74B68"/>
    <w:rsid w:val="00A74E56"/>
    <w:rsid w:val="00A74F22"/>
    <w:rsid w:val="00A76002"/>
    <w:rsid w:val="00A7640F"/>
    <w:rsid w:val="00A76453"/>
    <w:rsid w:val="00A76548"/>
    <w:rsid w:val="00A76AB7"/>
    <w:rsid w:val="00A77011"/>
    <w:rsid w:val="00A77286"/>
    <w:rsid w:val="00A774D9"/>
    <w:rsid w:val="00A77DA4"/>
    <w:rsid w:val="00A80197"/>
    <w:rsid w:val="00A805E3"/>
    <w:rsid w:val="00A8100F"/>
    <w:rsid w:val="00A81117"/>
    <w:rsid w:val="00A81CFD"/>
    <w:rsid w:val="00A82156"/>
    <w:rsid w:val="00A82CDB"/>
    <w:rsid w:val="00A83192"/>
    <w:rsid w:val="00A83888"/>
    <w:rsid w:val="00A840E6"/>
    <w:rsid w:val="00A8423E"/>
    <w:rsid w:val="00A85658"/>
    <w:rsid w:val="00A86074"/>
    <w:rsid w:val="00A86372"/>
    <w:rsid w:val="00A86F51"/>
    <w:rsid w:val="00A879DC"/>
    <w:rsid w:val="00A9012C"/>
    <w:rsid w:val="00A91E70"/>
    <w:rsid w:val="00A92361"/>
    <w:rsid w:val="00A9268D"/>
    <w:rsid w:val="00A92816"/>
    <w:rsid w:val="00A93103"/>
    <w:rsid w:val="00A934C8"/>
    <w:rsid w:val="00A9368E"/>
    <w:rsid w:val="00A9449A"/>
    <w:rsid w:val="00A948CA"/>
    <w:rsid w:val="00A94953"/>
    <w:rsid w:val="00A95183"/>
    <w:rsid w:val="00A95A95"/>
    <w:rsid w:val="00A95E25"/>
    <w:rsid w:val="00A95F78"/>
    <w:rsid w:val="00AA0216"/>
    <w:rsid w:val="00AA0EC3"/>
    <w:rsid w:val="00AA1350"/>
    <w:rsid w:val="00AA17E9"/>
    <w:rsid w:val="00AA1888"/>
    <w:rsid w:val="00AA1A43"/>
    <w:rsid w:val="00AA1D7D"/>
    <w:rsid w:val="00AA1E4C"/>
    <w:rsid w:val="00AA1FEB"/>
    <w:rsid w:val="00AA202A"/>
    <w:rsid w:val="00AA31C1"/>
    <w:rsid w:val="00AA6541"/>
    <w:rsid w:val="00AA67E0"/>
    <w:rsid w:val="00AA6A76"/>
    <w:rsid w:val="00AA70B0"/>
    <w:rsid w:val="00AA7F03"/>
    <w:rsid w:val="00AA7F9A"/>
    <w:rsid w:val="00AB0AD2"/>
    <w:rsid w:val="00AB2227"/>
    <w:rsid w:val="00AB28AB"/>
    <w:rsid w:val="00AB4117"/>
    <w:rsid w:val="00AB49FA"/>
    <w:rsid w:val="00AB4AFC"/>
    <w:rsid w:val="00AB50BE"/>
    <w:rsid w:val="00AB5C7A"/>
    <w:rsid w:val="00AB5D19"/>
    <w:rsid w:val="00AB5FA3"/>
    <w:rsid w:val="00AB6537"/>
    <w:rsid w:val="00AB6D09"/>
    <w:rsid w:val="00AB7366"/>
    <w:rsid w:val="00AB7ECA"/>
    <w:rsid w:val="00AB7FAB"/>
    <w:rsid w:val="00AC0144"/>
    <w:rsid w:val="00AC1595"/>
    <w:rsid w:val="00AC263E"/>
    <w:rsid w:val="00AC52AA"/>
    <w:rsid w:val="00AC5603"/>
    <w:rsid w:val="00AC5985"/>
    <w:rsid w:val="00AC7AA7"/>
    <w:rsid w:val="00AD1350"/>
    <w:rsid w:val="00AD1B4C"/>
    <w:rsid w:val="00AD202D"/>
    <w:rsid w:val="00AD23B4"/>
    <w:rsid w:val="00AD297C"/>
    <w:rsid w:val="00AD2C36"/>
    <w:rsid w:val="00AD4491"/>
    <w:rsid w:val="00AD4C74"/>
    <w:rsid w:val="00AD4DE4"/>
    <w:rsid w:val="00AD5498"/>
    <w:rsid w:val="00AD5C2E"/>
    <w:rsid w:val="00AD655B"/>
    <w:rsid w:val="00AD65E8"/>
    <w:rsid w:val="00AD689F"/>
    <w:rsid w:val="00AD6C69"/>
    <w:rsid w:val="00AD7172"/>
    <w:rsid w:val="00AD781E"/>
    <w:rsid w:val="00AD7BC6"/>
    <w:rsid w:val="00AD7F58"/>
    <w:rsid w:val="00AE0046"/>
    <w:rsid w:val="00AE02C4"/>
    <w:rsid w:val="00AE0DDC"/>
    <w:rsid w:val="00AE103A"/>
    <w:rsid w:val="00AE185F"/>
    <w:rsid w:val="00AE196C"/>
    <w:rsid w:val="00AE2C01"/>
    <w:rsid w:val="00AE2CAC"/>
    <w:rsid w:val="00AE3161"/>
    <w:rsid w:val="00AE3825"/>
    <w:rsid w:val="00AE3BB3"/>
    <w:rsid w:val="00AE4884"/>
    <w:rsid w:val="00AE4E63"/>
    <w:rsid w:val="00AE5795"/>
    <w:rsid w:val="00AE6029"/>
    <w:rsid w:val="00AE681B"/>
    <w:rsid w:val="00AE7AA1"/>
    <w:rsid w:val="00AE7EF4"/>
    <w:rsid w:val="00AF022F"/>
    <w:rsid w:val="00AF043A"/>
    <w:rsid w:val="00AF09C3"/>
    <w:rsid w:val="00AF0F6A"/>
    <w:rsid w:val="00AF1812"/>
    <w:rsid w:val="00AF29D1"/>
    <w:rsid w:val="00AF3CFB"/>
    <w:rsid w:val="00AF3D23"/>
    <w:rsid w:val="00AF4329"/>
    <w:rsid w:val="00AF6012"/>
    <w:rsid w:val="00AF61A9"/>
    <w:rsid w:val="00AF6FB7"/>
    <w:rsid w:val="00AF732B"/>
    <w:rsid w:val="00AF7828"/>
    <w:rsid w:val="00B00EAD"/>
    <w:rsid w:val="00B011CA"/>
    <w:rsid w:val="00B0197C"/>
    <w:rsid w:val="00B019BF"/>
    <w:rsid w:val="00B0246F"/>
    <w:rsid w:val="00B026D2"/>
    <w:rsid w:val="00B02ADC"/>
    <w:rsid w:val="00B031E2"/>
    <w:rsid w:val="00B036E5"/>
    <w:rsid w:val="00B038AD"/>
    <w:rsid w:val="00B03E63"/>
    <w:rsid w:val="00B0466C"/>
    <w:rsid w:val="00B05F5A"/>
    <w:rsid w:val="00B06CDB"/>
    <w:rsid w:val="00B06F11"/>
    <w:rsid w:val="00B071F5"/>
    <w:rsid w:val="00B1013E"/>
    <w:rsid w:val="00B1046C"/>
    <w:rsid w:val="00B11616"/>
    <w:rsid w:val="00B123FD"/>
    <w:rsid w:val="00B12AE8"/>
    <w:rsid w:val="00B1342C"/>
    <w:rsid w:val="00B1376D"/>
    <w:rsid w:val="00B13E8D"/>
    <w:rsid w:val="00B14126"/>
    <w:rsid w:val="00B15DE2"/>
    <w:rsid w:val="00B166CA"/>
    <w:rsid w:val="00B17398"/>
    <w:rsid w:val="00B179AE"/>
    <w:rsid w:val="00B17B57"/>
    <w:rsid w:val="00B17E38"/>
    <w:rsid w:val="00B21348"/>
    <w:rsid w:val="00B2158C"/>
    <w:rsid w:val="00B21649"/>
    <w:rsid w:val="00B21AB2"/>
    <w:rsid w:val="00B21DF6"/>
    <w:rsid w:val="00B22784"/>
    <w:rsid w:val="00B22A14"/>
    <w:rsid w:val="00B2327A"/>
    <w:rsid w:val="00B24745"/>
    <w:rsid w:val="00B256EA"/>
    <w:rsid w:val="00B2570A"/>
    <w:rsid w:val="00B25DD6"/>
    <w:rsid w:val="00B2603C"/>
    <w:rsid w:val="00B26332"/>
    <w:rsid w:val="00B263BE"/>
    <w:rsid w:val="00B26606"/>
    <w:rsid w:val="00B26C93"/>
    <w:rsid w:val="00B26CDF"/>
    <w:rsid w:val="00B27EF8"/>
    <w:rsid w:val="00B3003F"/>
    <w:rsid w:val="00B30492"/>
    <w:rsid w:val="00B30D74"/>
    <w:rsid w:val="00B3128E"/>
    <w:rsid w:val="00B31D98"/>
    <w:rsid w:val="00B31E2A"/>
    <w:rsid w:val="00B32701"/>
    <w:rsid w:val="00B32DFB"/>
    <w:rsid w:val="00B32E58"/>
    <w:rsid w:val="00B337D1"/>
    <w:rsid w:val="00B34158"/>
    <w:rsid w:val="00B34224"/>
    <w:rsid w:val="00B3429E"/>
    <w:rsid w:val="00B349AF"/>
    <w:rsid w:val="00B34F0B"/>
    <w:rsid w:val="00B351A1"/>
    <w:rsid w:val="00B35F18"/>
    <w:rsid w:val="00B36E19"/>
    <w:rsid w:val="00B37690"/>
    <w:rsid w:val="00B41378"/>
    <w:rsid w:val="00B428E0"/>
    <w:rsid w:val="00B42E77"/>
    <w:rsid w:val="00B43B5C"/>
    <w:rsid w:val="00B44D18"/>
    <w:rsid w:val="00B451EB"/>
    <w:rsid w:val="00B4554E"/>
    <w:rsid w:val="00B455E9"/>
    <w:rsid w:val="00B45790"/>
    <w:rsid w:val="00B468CE"/>
    <w:rsid w:val="00B47380"/>
    <w:rsid w:val="00B5015F"/>
    <w:rsid w:val="00B512ED"/>
    <w:rsid w:val="00B525BF"/>
    <w:rsid w:val="00B53341"/>
    <w:rsid w:val="00B535EE"/>
    <w:rsid w:val="00B53D95"/>
    <w:rsid w:val="00B548DA"/>
    <w:rsid w:val="00B54AFA"/>
    <w:rsid w:val="00B54DFC"/>
    <w:rsid w:val="00B55176"/>
    <w:rsid w:val="00B554E1"/>
    <w:rsid w:val="00B55765"/>
    <w:rsid w:val="00B558EC"/>
    <w:rsid w:val="00B55F3E"/>
    <w:rsid w:val="00B55F55"/>
    <w:rsid w:val="00B562B3"/>
    <w:rsid w:val="00B56559"/>
    <w:rsid w:val="00B56954"/>
    <w:rsid w:val="00B57792"/>
    <w:rsid w:val="00B57AF2"/>
    <w:rsid w:val="00B60A25"/>
    <w:rsid w:val="00B614F1"/>
    <w:rsid w:val="00B62CF8"/>
    <w:rsid w:val="00B62FE3"/>
    <w:rsid w:val="00B63078"/>
    <w:rsid w:val="00B633AF"/>
    <w:rsid w:val="00B6413B"/>
    <w:rsid w:val="00B644C1"/>
    <w:rsid w:val="00B644FC"/>
    <w:rsid w:val="00B64BDF"/>
    <w:rsid w:val="00B64CB6"/>
    <w:rsid w:val="00B66C7C"/>
    <w:rsid w:val="00B67391"/>
    <w:rsid w:val="00B70E0E"/>
    <w:rsid w:val="00B70F6F"/>
    <w:rsid w:val="00B732FD"/>
    <w:rsid w:val="00B73B77"/>
    <w:rsid w:val="00B73FEB"/>
    <w:rsid w:val="00B743E3"/>
    <w:rsid w:val="00B74433"/>
    <w:rsid w:val="00B7574D"/>
    <w:rsid w:val="00B76A64"/>
    <w:rsid w:val="00B76CA1"/>
    <w:rsid w:val="00B771B3"/>
    <w:rsid w:val="00B80612"/>
    <w:rsid w:val="00B80D52"/>
    <w:rsid w:val="00B81D46"/>
    <w:rsid w:val="00B82186"/>
    <w:rsid w:val="00B823B1"/>
    <w:rsid w:val="00B82BD3"/>
    <w:rsid w:val="00B83AFE"/>
    <w:rsid w:val="00B83F29"/>
    <w:rsid w:val="00B83FD7"/>
    <w:rsid w:val="00B84F15"/>
    <w:rsid w:val="00B85AA5"/>
    <w:rsid w:val="00B860EE"/>
    <w:rsid w:val="00B86237"/>
    <w:rsid w:val="00B879CC"/>
    <w:rsid w:val="00B87BD8"/>
    <w:rsid w:val="00B90409"/>
    <w:rsid w:val="00B91834"/>
    <w:rsid w:val="00B91A4D"/>
    <w:rsid w:val="00B9215C"/>
    <w:rsid w:val="00B92713"/>
    <w:rsid w:val="00B92DCB"/>
    <w:rsid w:val="00B93486"/>
    <w:rsid w:val="00B93B85"/>
    <w:rsid w:val="00B944C6"/>
    <w:rsid w:val="00B947A5"/>
    <w:rsid w:val="00B94B35"/>
    <w:rsid w:val="00B95A4B"/>
    <w:rsid w:val="00B964C7"/>
    <w:rsid w:val="00B966F0"/>
    <w:rsid w:val="00BA0358"/>
    <w:rsid w:val="00BA0BE5"/>
    <w:rsid w:val="00BA0F7B"/>
    <w:rsid w:val="00BA1F01"/>
    <w:rsid w:val="00BA2396"/>
    <w:rsid w:val="00BA26B5"/>
    <w:rsid w:val="00BA3355"/>
    <w:rsid w:val="00BA39B5"/>
    <w:rsid w:val="00BA417B"/>
    <w:rsid w:val="00BA4F76"/>
    <w:rsid w:val="00BA5FAA"/>
    <w:rsid w:val="00BA60C8"/>
    <w:rsid w:val="00BA64CA"/>
    <w:rsid w:val="00BA7901"/>
    <w:rsid w:val="00BA7931"/>
    <w:rsid w:val="00BA7CD1"/>
    <w:rsid w:val="00BA7F67"/>
    <w:rsid w:val="00BB04A2"/>
    <w:rsid w:val="00BB1152"/>
    <w:rsid w:val="00BB1ACC"/>
    <w:rsid w:val="00BB24A7"/>
    <w:rsid w:val="00BB2904"/>
    <w:rsid w:val="00BB3130"/>
    <w:rsid w:val="00BB409B"/>
    <w:rsid w:val="00BB493B"/>
    <w:rsid w:val="00BB4A95"/>
    <w:rsid w:val="00BB7603"/>
    <w:rsid w:val="00BC0548"/>
    <w:rsid w:val="00BC133E"/>
    <w:rsid w:val="00BC19A7"/>
    <w:rsid w:val="00BC267A"/>
    <w:rsid w:val="00BC289C"/>
    <w:rsid w:val="00BC2B54"/>
    <w:rsid w:val="00BC34ED"/>
    <w:rsid w:val="00BC3CF9"/>
    <w:rsid w:val="00BC3D8C"/>
    <w:rsid w:val="00BC3DE1"/>
    <w:rsid w:val="00BC5ADE"/>
    <w:rsid w:val="00BC5C44"/>
    <w:rsid w:val="00BC61D3"/>
    <w:rsid w:val="00BC6AFD"/>
    <w:rsid w:val="00BC6D15"/>
    <w:rsid w:val="00BC75EA"/>
    <w:rsid w:val="00BC7A99"/>
    <w:rsid w:val="00BD01FB"/>
    <w:rsid w:val="00BD0794"/>
    <w:rsid w:val="00BD16A4"/>
    <w:rsid w:val="00BD1CBB"/>
    <w:rsid w:val="00BD3343"/>
    <w:rsid w:val="00BD3508"/>
    <w:rsid w:val="00BD4A3F"/>
    <w:rsid w:val="00BD4D31"/>
    <w:rsid w:val="00BD52D1"/>
    <w:rsid w:val="00BD5989"/>
    <w:rsid w:val="00BD5A3C"/>
    <w:rsid w:val="00BD6DF5"/>
    <w:rsid w:val="00BD7043"/>
    <w:rsid w:val="00BD7402"/>
    <w:rsid w:val="00BD74AD"/>
    <w:rsid w:val="00BD7EDA"/>
    <w:rsid w:val="00BE0225"/>
    <w:rsid w:val="00BE0EAB"/>
    <w:rsid w:val="00BE0F2B"/>
    <w:rsid w:val="00BE1EE7"/>
    <w:rsid w:val="00BE25DC"/>
    <w:rsid w:val="00BE2C13"/>
    <w:rsid w:val="00BE38D2"/>
    <w:rsid w:val="00BE3BE5"/>
    <w:rsid w:val="00BE43B8"/>
    <w:rsid w:val="00BE4F6F"/>
    <w:rsid w:val="00BE5B3B"/>
    <w:rsid w:val="00BE6227"/>
    <w:rsid w:val="00BE6394"/>
    <w:rsid w:val="00BE680C"/>
    <w:rsid w:val="00BE6CE2"/>
    <w:rsid w:val="00BE6FBF"/>
    <w:rsid w:val="00BE708A"/>
    <w:rsid w:val="00BE7597"/>
    <w:rsid w:val="00BE75DD"/>
    <w:rsid w:val="00BE7F45"/>
    <w:rsid w:val="00BF0216"/>
    <w:rsid w:val="00BF0896"/>
    <w:rsid w:val="00BF0FFA"/>
    <w:rsid w:val="00BF16AB"/>
    <w:rsid w:val="00BF2AB5"/>
    <w:rsid w:val="00BF2C60"/>
    <w:rsid w:val="00BF310B"/>
    <w:rsid w:val="00BF3B4F"/>
    <w:rsid w:val="00BF46BE"/>
    <w:rsid w:val="00BF6072"/>
    <w:rsid w:val="00BF61EA"/>
    <w:rsid w:val="00BF7128"/>
    <w:rsid w:val="00BF7C96"/>
    <w:rsid w:val="00C004D0"/>
    <w:rsid w:val="00C00D7A"/>
    <w:rsid w:val="00C01628"/>
    <w:rsid w:val="00C01C0E"/>
    <w:rsid w:val="00C02657"/>
    <w:rsid w:val="00C0370B"/>
    <w:rsid w:val="00C03E53"/>
    <w:rsid w:val="00C03E5A"/>
    <w:rsid w:val="00C04653"/>
    <w:rsid w:val="00C049B0"/>
    <w:rsid w:val="00C05FE6"/>
    <w:rsid w:val="00C065A6"/>
    <w:rsid w:val="00C07620"/>
    <w:rsid w:val="00C077DD"/>
    <w:rsid w:val="00C117D5"/>
    <w:rsid w:val="00C11857"/>
    <w:rsid w:val="00C11884"/>
    <w:rsid w:val="00C123AC"/>
    <w:rsid w:val="00C13611"/>
    <w:rsid w:val="00C1371A"/>
    <w:rsid w:val="00C152EE"/>
    <w:rsid w:val="00C15347"/>
    <w:rsid w:val="00C15DF8"/>
    <w:rsid w:val="00C15E1F"/>
    <w:rsid w:val="00C15E82"/>
    <w:rsid w:val="00C16252"/>
    <w:rsid w:val="00C1771D"/>
    <w:rsid w:val="00C207D9"/>
    <w:rsid w:val="00C2160D"/>
    <w:rsid w:val="00C21B19"/>
    <w:rsid w:val="00C22EF9"/>
    <w:rsid w:val="00C22F2A"/>
    <w:rsid w:val="00C23104"/>
    <w:rsid w:val="00C24B9D"/>
    <w:rsid w:val="00C2517D"/>
    <w:rsid w:val="00C25F5F"/>
    <w:rsid w:val="00C261E4"/>
    <w:rsid w:val="00C26458"/>
    <w:rsid w:val="00C2652C"/>
    <w:rsid w:val="00C26823"/>
    <w:rsid w:val="00C2734E"/>
    <w:rsid w:val="00C2770E"/>
    <w:rsid w:val="00C27D94"/>
    <w:rsid w:val="00C3223A"/>
    <w:rsid w:val="00C3329B"/>
    <w:rsid w:val="00C33D3E"/>
    <w:rsid w:val="00C34EE5"/>
    <w:rsid w:val="00C35B9B"/>
    <w:rsid w:val="00C3637C"/>
    <w:rsid w:val="00C375AA"/>
    <w:rsid w:val="00C3799C"/>
    <w:rsid w:val="00C37D97"/>
    <w:rsid w:val="00C40311"/>
    <w:rsid w:val="00C405D0"/>
    <w:rsid w:val="00C408B4"/>
    <w:rsid w:val="00C41981"/>
    <w:rsid w:val="00C419E0"/>
    <w:rsid w:val="00C41FF7"/>
    <w:rsid w:val="00C42E34"/>
    <w:rsid w:val="00C43D25"/>
    <w:rsid w:val="00C43F06"/>
    <w:rsid w:val="00C446D5"/>
    <w:rsid w:val="00C449E6"/>
    <w:rsid w:val="00C44B94"/>
    <w:rsid w:val="00C45011"/>
    <w:rsid w:val="00C45121"/>
    <w:rsid w:val="00C4564F"/>
    <w:rsid w:val="00C45666"/>
    <w:rsid w:val="00C45B18"/>
    <w:rsid w:val="00C45EAC"/>
    <w:rsid w:val="00C4631E"/>
    <w:rsid w:val="00C46B53"/>
    <w:rsid w:val="00C47148"/>
    <w:rsid w:val="00C504AB"/>
    <w:rsid w:val="00C507FB"/>
    <w:rsid w:val="00C50A45"/>
    <w:rsid w:val="00C50E16"/>
    <w:rsid w:val="00C50E7A"/>
    <w:rsid w:val="00C50FD3"/>
    <w:rsid w:val="00C51B6E"/>
    <w:rsid w:val="00C5203D"/>
    <w:rsid w:val="00C52315"/>
    <w:rsid w:val="00C527CE"/>
    <w:rsid w:val="00C52859"/>
    <w:rsid w:val="00C52C91"/>
    <w:rsid w:val="00C52E65"/>
    <w:rsid w:val="00C5378F"/>
    <w:rsid w:val="00C543D0"/>
    <w:rsid w:val="00C54961"/>
    <w:rsid w:val="00C54EEE"/>
    <w:rsid w:val="00C55044"/>
    <w:rsid w:val="00C5764A"/>
    <w:rsid w:val="00C60655"/>
    <w:rsid w:val="00C61067"/>
    <w:rsid w:val="00C6181F"/>
    <w:rsid w:val="00C624D4"/>
    <w:rsid w:val="00C625E0"/>
    <w:rsid w:val="00C63217"/>
    <w:rsid w:val="00C634B8"/>
    <w:rsid w:val="00C63D24"/>
    <w:rsid w:val="00C648DA"/>
    <w:rsid w:val="00C6534C"/>
    <w:rsid w:val="00C66CAC"/>
    <w:rsid w:val="00C67A8E"/>
    <w:rsid w:val="00C67C16"/>
    <w:rsid w:val="00C70602"/>
    <w:rsid w:val="00C708B5"/>
    <w:rsid w:val="00C70F43"/>
    <w:rsid w:val="00C73FF7"/>
    <w:rsid w:val="00C7545B"/>
    <w:rsid w:val="00C75559"/>
    <w:rsid w:val="00C75E20"/>
    <w:rsid w:val="00C7688B"/>
    <w:rsid w:val="00C76B47"/>
    <w:rsid w:val="00C77193"/>
    <w:rsid w:val="00C77263"/>
    <w:rsid w:val="00C777AF"/>
    <w:rsid w:val="00C808BC"/>
    <w:rsid w:val="00C82248"/>
    <w:rsid w:val="00C82A46"/>
    <w:rsid w:val="00C82F4B"/>
    <w:rsid w:val="00C83C4E"/>
    <w:rsid w:val="00C83CF2"/>
    <w:rsid w:val="00C83E22"/>
    <w:rsid w:val="00C84038"/>
    <w:rsid w:val="00C84B81"/>
    <w:rsid w:val="00C85008"/>
    <w:rsid w:val="00C85458"/>
    <w:rsid w:val="00C8657D"/>
    <w:rsid w:val="00C90246"/>
    <w:rsid w:val="00C90CD2"/>
    <w:rsid w:val="00C923A4"/>
    <w:rsid w:val="00C9273D"/>
    <w:rsid w:val="00C928CC"/>
    <w:rsid w:val="00C929AE"/>
    <w:rsid w:val="00C92BA2"/>
    <w:rsid w:val="00C92FB9"/>
    <w:rsid w:val="00C93F73"/>
    <w:rsid w:val="00C9431B"/>
    <w:rsid w:val="00C94C73"/>
    <w:rsid w:val="00C95169"/>
    <w:rsid w:val="00C95302"/>
    <w:rsid w:val="00C97DAC"/>
    <w:rsid w:val="00CA0B41"/>
    <w:rsid w:val="00CA0DD6"/>
    <w:rsid w:val="00CA14F4"/>
    <w:rsid w:val="00CA1C5F"/>
    <w:rsid w:val="00CA22E2"/>
    <w:rsid w:val="00CA2B63"/>
    <w:rsid w:val="00CA396C"/>
    <w:rsid w:val="00CA4379"/>
    <w:rsid w:val="00CA4564"/>
    <w:rsid w:val="00CA4645"/>
    <w:rsid w:val="00CA4CDD"/>
    <w:rsid w:val="00CA4EA0"/>
    <w:rsid w:val="00CA5385"/>
    <w:rsid w:val="00CA564D"/>
    <w:rsid w:val="00CA60AD"/>
    <w:rsid w:val="00CA64ED"/>
    <w:rsid w:val="00CA67AA"/>
    <w:rsid w:val="00CA6B9B"/>
    <w:rsid w:val="00CA7475"/>
    <w:rsid w:val="00CA75A2"/>
    <w:rsid w:val="00CB2217"/>
    <w:rsid w:val="00CB2370"/>
    <w:rsid w:val="00CB2A43"/>
    <w:rsid w:val="00CB2B4C"/>
    <w:rsid w:val="00CB2F46"/>
    <w:rsid w:val="00CB37F2"/>
    <w:rsid w:val="00CB3D41"/>
    <w:rsid w:val="00CB3F5B"/>
    <w:rsid w:val="00CB429E"/>
    <w:rsid w:val="00CB4329"/>
    <w:rsid w:val="00CB4941"/>
    <w:rsid w:val="00CB583D"/>
    <w:rsid w:val="00CB5A90"/>
    <w:rsid w:val="00CB6E39"/>
    <w:rsid w:val="00CC03B9"/>
    <w:rsid w:val="00CC16A4"/>
    <w:rsid w:val="00CC2490"/>
    <w:rsid w:val="00CC3635"/>
    <w:rsid w:val="00CC4CEE"/>
    <w:rsid w:val="00CC4D36"/>
    <w:rsid w:val="00CC4E32"/>
    <w:rsid w:val="00CC5377"/>
    <w:rsid w:val="00CC59BE"/>
    <w:rsid w:val="00CC655C"/>
    <w:rsid w:val="00CC6A9C"/>
    <w:rsid w:val="00CC7E6C"/>
    <w:rsid w:val="00CD13DC"/>
    <w:rsid w:val="00CD1D06"/>
    <w:rsid w:val="00CD2183"/>
    <w:rsid w:val="00CD218C"/>
    <w:rsid w:val="00CD2489"/>
    <w:rsid w:val="00CD2D21"/>
    <w:rsid w:val="00CD2D4B"/>
    <w:rsid w:val="00CD3796"/>
    <w:rsid w:val="00CD47A6"/>
    <w:rsid w:val="00CD4D5B"/>
    <w:rsid w:val="00CD6794"/>
    <w:rsid w:val="00CD67F3"/>
    <w:rsid w:val="00CD6E21"/>
    <w:rsid w:val="00CD6E91"/>
    <w:rsid w:val="00CD7316"/>
    <w:rsid w:val="00CD7486"/>
    <w:rsid w:val="00CD7931"/>
    <w:rsid w:val="00CE00C6"/>
    <w:rsid w:val="00CE1772"/>
    <w:rsid w:val="00CE18DB"/>
    <w:rsid w:val="00CE1CBB"/>
    <w:rsid w:val="00CE2FC3"/>
    <w:rsid w:val="00CE316D"/>
    <w:rsid w:val="00CE37D8"/>
    <w:rsid w:val="00CE420F"/>
    <w:rsid w:val="00CE4586"/>
    <w:rsid w:val="00CE4633"/>
    <w:rsid w:val="00CE4F1A"/>
    <w:rsid w:val="00CE52C5"/>
    <w:rsid w:val="00CE5874"/>
    <w:rsid w:val="00CE5A3A"/>
    <w:rsid w:val="00CE65C9"/>
    <w:rsid w:val="00CE6D79"/>
    <w:rsid w:val="00CE7177"/>
    <w:rsid w:val="00CE7549"/>
    <w:rsid w:val="00CE7626"/>
    <w:rsid w:val="00CE7A5C"/>
    <w:rsid w:val="00CE7C68"/>
    <w:rsid w:val="00CE7C8A"/>
    <w:rsid w:val="00CE7FA2"/>
    <w:rsid w:val="00CF0012"/>
    <w:rsid w:val="00CF039F"/>
    <w:rsid w:val="00CF0667"/>
    <w:rsid w:val="00CF0AC5"/>
    <w:rsid w:val="00CF0FAC"/>
    <w:rsid w:val="00CF0FE8"/>
    <w:rsid w:val="00CF137C"/>
    <w:rsid w:val="00CF140E"/>
    <w:rsid w:val="00CF19EE"/>
    <w:rsid w:val="00CF19F7"/>
    <w:rsid w:val="00CF2685"/>
    <w:rsid w:val="00CF46A8"/>
    <w:rsid w:val="00CF4710"/>
    <w:rsid w:val="00CF4E64"/>
    <w:rsid w:val="00CF4ECB"/>
    <w:rsid w:val="00CF501B"/>
    <w:rsid w:val="00CF5220"/>
    <w:rsid w:val="00CF653B"/>
    <w:rsid w:val="00CF7294"/>
    <w:rsid w:val="00CF76D0"/>
    <w:rsid w:val="00CF7D75"/>
    <w:rsid w:val="00D0066E"/>
    <w:rsid w:val="00D00BD8"/>
    <w:rsid w:val="00D00D0E"/>
    <w:rsid w:val="00D011CC"/>
    <w:rsid w:val="00D01548"/>
    <w:rsid w:val="00D01575"/>
    <w:rsid w:val="00D01ABB"/>
    <w:rsid w:val="00D029D0"/>
    <w:rsid w:val="00D0514A"/>
    <w:rsid w:val="00D057BF"/>
    <w:rsid w:val="00D05842"/>
    <w:rsid w:val="00D05EF5"/>
    <w:rsid w:val="00D06115"/>
    <w:rsid w:val="00D061EF"/>
    <w:rsid w:val="00D06FDF"/>
    <w:rsid w:val="00D07C21"/>
    <w:rsid w:val="00D11107"/>
    <w:rsid w:val="00D113D4"/>
    <w:rsid w:val="00D116E0"/>
    <w:rsid w:val="00D1172B"/>
    <w:rsid w:val="00D117BA"/>
    <w:rsid w:val="00D11977"/>
    <w:rsid w:val="00D123D8"/>
    <w:rsid w:val="00D12911"/>
    <w:rsid w:val="00D12B44"/>
    <w:rsid w:val="00D12C81"/>
    <w:rsid w:val="00D12D55"/>
    <w:rsid w:val="00D1342E"/>
    <w:rsid w:val="00D13611"/>
    <w:rsid w:val="00D148BB"/>
    <w:rsid w:val="00D15B87"/>
    <w:rsid w:val="00D16096"/>
    <w:rsid w:val="00D1642E"/>
    <w:rsid w:val="00D1669E"/>
    <w:rsid w:val="00D179F2"/>
    <w:rsid w:val="00D206E3"/>
    <w:rsid w:val="00D224C2"/>
    <w:rsid w:val="00D229D1"/>
    <w:rsid w:val="00D23166"/>
    <w:rsid w:val="00D23FDF"/>
    <w:rsid w:val="00D2447F"/>
    <w:rsid w:val="00D249CA"/>
    <w:rsid w:val="00D24AA8"/>
    <w:rsid w:val="00D25DD1"/>
    <w:rsid w:val="00D26552"/>
    <w:rsid w:val="00D269AF"/>
    <w:rsid w:val="00D276E8"/>
    <w:rsid w:val="00D276FA"/>
    <w:rsid w:val="00D27CAD"/>
    <w:rsid w:val="00D3138C"/>
    <w:rsid w:val="00D314CF"/>
    <w:rsid w:val="00D31B7D"/>
    <w:rsid w:val="00D322D0"/>
    <w:rsid w:val="00D32AE4"/>
    <w:rsid w:val="00D32C4E"/>
    <w:rsid w:val="00D341EE"/>
    <w:rsid w:val="00D344A2"/>
    <w:rsid w:val="00D34A61"/>
    <w:rsid w:val="00D35093"/>
    <w:rsid w:val="00D35129"/>
    <w:rsid w:val="00D35F4D"/>
    <w:rsid w:val="00D37D1A"/>
    <w:rsid w:val="00D37E21"/>
    <w:rsid w:val="00D37ECC"/>
    <w:rsid w:val="00D401AA"/>
    <w:rsid w:val="00D40751"/>
    <w:rsid w:val="00D41286"/>
    <w:rsid w:val="00D414B7"/>
    <w:rsid w:val="00D415E8"/>
    <w:rsid w:val="00D417DB"/>
    <w:rsid w:val="00D41A05"/>
    <w:rsid w:val="00D41C20"/>
    <w:rsid w:val="00D41C31"/>
    <w:rsid w:val="00D420CA"/>
    <w:rsid w:val="00D425C3"/>
    <w:rsid w:val="00D42E4D"/>
    <w:rsid w:val="00D4332E"/>
    <w:rsid w:val="00D433E9"/>
    <w:rsid w:val="00D43AF9"/>
    <w:rsid w:val="00D43D28"/>
    <w:rsid w:val="00D43E40"/>
    <w:rsid w:val="00D44265"/>
    <w:rsid w:val="00D44F4F"/>
    <w:rsid w:val="00D46D78"/>
    <w:rsid w:val="00D51D15"/>
    <w:rsid w:val="00D52DDA"/>
    <w:rsid w:val="00D53298"/>
    <w:rsid w:val="00D53765"/>
    <w:rsid w:val="00D540D2"/>
    <w:rsid w:val="00D54B74"/>
    <w:rsid w:val="00D55560"/>
    <w:rsid w:val="00D558A0"/>
    <w:rsid w:val="00D560E9"/>
    <w:rsid w:val="00D56BA5"/>
    <w:rsid w:val="00D57A29"/>
    <w:rsid w:val="00D57E59"/>
    <w:rsid w:val="00D61877"/>
    <w:rsid w:val="00D61AED"/>
    <w:rsid w:val="00D61BF8"/>
    <w:rsid w:val="00D61F39"/>
    <w:rsid w:val="00D625ED"/>
    <w:rsid w:val="00D62741"/>
    <w:rsid w:val="00D627D5"/>
    <w:rsid w:val="00D62813"/>
    <w:rsid w:val="00D62B53"/>
    <w:rsid w:val="00D631A9"/>
    <w:rsid w:val="00D638CD"/>
    <w:rsid w:val="00D64CA3"/>
    <w:rsid w:val="00D65895"/>
    <w:rsid w:val="00D65B1B"/>
    <w:rsid w:val="00D66019"/>
    <w:rsid w:val="00D6637E"/>
    <w:rsid w:val="00D67511"/>
    <w:rsid w:val="00D71028"/>
    <w:rsid w:val="00D71814"/>
    <w:rsid w:val="00D71EBE"/>
    <w:rsid w:val="00D726A2"/>
    <w:rsid w:val="00D72FF5"/>
    <w:rsid w:val="00D73328"/>
    <w:rsid w:val="00D733C7"/>
    <w:rsid w:val="00D734A6"/>
    <w:rsid w:val="00D73628"/>
    <w:rsid w:val="00D73ED7"/>
    <w:rsid w:val="00D74C01"/>
    <w:rsid w:val="00D751BA"/>
    <w:rsid w:val="00D7589F"/>
    <w:rsid w:val="00D75EC9"/>
    <w:rsid w:val="00D762C2"/>
    <w:rsid w:val="00D7688C"/>
    <w:rsid w:val="00D77795"/>
    <w:rsid w:val="00D77C1D"/>
    <w:rsid w:val="00D80960"/>
    <w:rsid w:val="00D80DF7"/>
    <w:rsid w:val="00D81070"/>
    <w:rsid w:val="00D8117D"/>
    <w:rsid w:val="00D813A5"/>
    <w:rsid w:val="00D8163A"/>
    <w:rsid w:val="00D827A8"/>
    <w:rsid w:val="00D8358B"/>
    <w:rsid w:val="00D843EC"/>
    <w:rsid w:val="00D84FD6"/>
    <w:rsid w:val="00D8665D"/>
    <w:rsid w:val="00D86AC7"/>
    <w:rsid w:val="00D8710B"/>
    <w:rsid w:val="00D87BD5"/>
    <w:rsid w:val="00D87FE2"/>
    <w:rsid w:val="00D87FE4"/>
    <w:rsid w:val="00D91265"/>
    <w:rsid w:val="00D91545"/>
    <w:rsid w:val="00D9164F"/>
    <w:rsid w:val="00D91743"/>
    <w:rsid w:val="00D91BF6"/>
    <w:rsid w:val="00D91C69"/>
    <w:rsid w:val="00D9345B"/>
    <w:rsid w:val="00D939CB"/>
    <w:rsid w:val="00D9426D"/>
    <w:rsid w:val="00D94C67"/>
    <w:rsid w:val="00D962D3"/>
    <w:rsid w:val="00D966C3"/>
    <w:rsid w:val="00D96920"/>
    <w:rsid w:val="00D97648"/>
    <w:rsid w:val="00D97E16"/>
    <w:rsid w:val="00DA01AE"/>
    <w:rsid w:val="00DA039E"/>
    <w:rsid w:val="00DA0D0E"/>
    <w:rsid w:val="00DA10B0"/>
    <w:rsid w:val="00DA16BA"/>
    <w:rsid w:val="00DA1A07"/>
    <w:rsid w:val="00DA243F"/>
    <w:rsid w:val="00DA2A28"/>
    <w:rsid w:val="00DA2F0E"/>
    <w:rsid w:val="00DA4317"/>
    <w:rsid w:val="00DA4A95"/>
    <w:rsid w:val="00DA4C9C"/>
    <w:rsid w:val="00DA4CDE"/>
    <w:rsid w:val="00DA60AA"/>
    <w:rsid w:val="00DA6294"/>
    <w:rsid w:val="00DA66B4"/>
    <w:rsid w:val="00DA6C35"/>
    <w:rsid w:val="00DA7BBE"/>
    <w:rsid w:val="00DB0224"/>
    <w:rsid w:val="00DB0514"/>
    <w:rsid w:val="00DB211F"/>
    <w:rsid w:val="00DB235C"/>
    <w:rsid w:val="00DB262A"/>
    <w:rsid w:val="00DB342C"/>
    <w:rsid w:val="00DB365D"/>
    <w:rsid w:val="00DB3818"/>
    <w:rsid w:val="00DB3D2B"/>
    <w:rsid w:val="00DB439E"/>
    <w:rsid w:val="00DB4CF9"/>
    <w:rsid w:val="00DB4ECC"/>
    <w:rsid w:val="00DB50B6"/>
    <w:rsid w:val="00DB5156"/>
    <w:rsid w:val="00DB5C12"/>
    <w:rsid w:val="00DB5E51"/>
    <w:rsid w:val="00DB647F"/>
    <w:rsid w:val="00DB715C"/>
    <w:rsid w:val="00DC24D4"/>
    <w:rsid w:val="00DC297C"/>
    <w:rsid w:val="00DC29E6"/>
    <w:rsid w:val="00DC4211"/>
    <w:rsid w:val="00DC443A"/>
    <w:rsid w:val="00DC46D8"/>
    <w:rsid w:val="00DC5431"/>
    <w:rsid w:val="00DC57A7"/>
    <w:rsid w:val="00DC61F4"/>
    <w:rsid w:val="00DC6BC5"/>
    <w:rsid w:val="00DC73EA"/>
    <w:rsid w:val="00DD002F"/>
    <w:rsid w:val="00DD0C7F"/>
    <w:rsid w:val="00DD16E9"/>
    <w:rsid w:val="00DD1ABC"/>
    <w:rsid w:val="00DD2313"/>
    <w:rsid w:val="00DD2633"/>
    <w:rsid w:val="00DD2C28"/>
    <w:rsid w:val="00DD340B"/>
    <w:rsid w:val="00DD53C7"/>
    <w:rsid w:val="00DD5C4D"/>
    <w:rsid w:val="00DD6512"/>
    <w:rsid w:val="00DD67E8"/>
    <w:rsid w:val="00DD71A5"/>
    <w:rsid w:val="00DD7B18"/>
    <w:rsid w:val="00DE06FF"/>
    <w:rsid w:val="00DE072D"/>
    <w:rsid w:val="00DE16AF"/>
    <w:rsid w:val="00DE2B28"/>
    <w:rsid w:val="00DE2BBC"/>
    <w:rsid w:val="00DE3187"/>
    <w:rsid w:val="00DE31E1"/>
    <w:rsid w:val="00DE37E9"/>
    <w:rsid w:val="00DE3CE6"/>
    <w:rsid w:val="00DE484B"/>
    <w:rsid w:val="00DE4894"/>
    <w:rsid w:val="00DE4C1C"/>
    <w:rsid w:val="00DE5682"/>
    <w:rsid w:val="00DE5DDD"/>
    <w:rsid w:val="00DE62FB"/>
    <w:rsid w:val="00DE7AAD"/>
    <w:rsid w:val="00DE7EA5"/>
    <w:rsid w:val="00DF0902"/>
    <w:rsid w:val="00DF1868"/>
    <w:rsid w:val="00DF2551"/>
    <w:rsid w:val="00DF26B6"/>
    <w:rsid w:val="00DF27CA"/>
    <w:rsid w:val="00DF280C"/>
    <w:rsid w:val="00DF2E75"/>
    <w:rsid w:val="00DF2EB1"/>
    <w:rsid w:val="00DF33A5"/>
    <w:rsid w:val="00DF4307"/>
    <w:rsid w:val="00DF482F"/>
    <w:rsid w:val="00DF51CD"/>
    <w:rsid w:val="00DF6013"/>
    <w:rsid w:val="00DF64F3"/>
    <w:rsid w:val="00E00905"/>
    <w:rsid w:val="00E012C3"/>
    <w:rsid w:val="00E020A5"/>
    <w:rsid w:val="00E02330"/>
    <w:rsid w:val="00E02856"/>
    <w:rsid w:val="00E03FB7"/>
    <w:rsid w:val="00E0419C"/>
    <w:rsid w:val="00E045EA"/>
    <w:rsid w:val="00E0541A"/>
    <w:rsid w:val="00E06A75"/>
    <w:rsid w:val="00E07557"/>
    <w:rsid w:val="00E076B2"/>
    <w:rsid w:val="00E0774F"/>
    <w:rsid w:val="00E11508"/>
    <w:rsid w:val="00E117BA"/>
    <w:rsid w:val="00E11FA4"/>
    <w:rsid w:val="00E12E02"/>
    <w:rsid w:val="00E13D41"/>
    <w:rsid w:val="00E14D82"/>
    <w:rsid w:val="00E150BB"/>
    <w:rsid w:val="00E15702"/>
    <w:rsid w:val="00E16229"/>
    <w:rsid w:val="00E203F2"/>
    <w:rsid w:val="00E2053F"/>
    <w:rsid w:val="00E20D25"/>
    <w:rsid w:val="00E21133"/>
    <w:rsid w:val="00E214F8"/>
    <w:rsid w:val="00E217CC"/>
    <w:rsid w:val="00E22380"/>
    <w:rsid w:val="00E22D50"/>
    <w:rsid w:val="00E22E20"/>
    <w:rsid w:val="00E23037"/>
    <w:rsid w:val="00E23243"/>
    <w:rsid w:val="00E2359C"/>
    <w:rsid w:val="00E23A74"/>
    <w:rsid w:val="00E23E23"/>
    <w:rsid w:val="00E250AE"/>
    <w:rsid w:val="00E2525E"/>
    <w:rsid w:val="00E253A9"/>
    <w:rsid w:val="00E26EE1"/>
    <w:rsid w:val="00E30022"/>
    <w:rsid w:val="00E31A9D"/>
    <w:rsid w:val="00E31F6B"/>
    <w:rsid w:val="00E324B1"/>
    <w:rsid w:val="00E32686"/>
    <w:rsid w:val="00E3481D"/>
    <w:rsid w:val="00E35183"/>
    <w:rsid w:val="00E352F0"/>
    <w:rsid w:val="00E361CC"/>
    <w:rsid w:val="00E36E9A"/>
    <w:rsid w:val="00E4018A"/>
    <w:rsid w:val="00E4032E"/>
    <w:rsid w:val="00E406DE"/>
    <w:rsid w:val="00E410B4"/>
    <w:rsid w:val="00E41CDE"/>
    <w:rsid w:val="00E41CE8"/>
    <w:rsid w:val="00E42463"/>
    <w:rsid w:val="00E429C4"/>
    <w:rsid w:val="00E42FE7"/>
    <w:rsid w:val="00E43920"/>
    <w:rsid w:val="00E44115"/>
    <w:rsid w:val="00E445FA"/>
    <w:rsid w:val="00E45030"/>
    <w:rsid w:val="00E451D6"/>
    <w:rsid w:val="00E45659"/>
    <w:rsid w:val="00E45704"/>
    <w:rsid w:val="00E46BB9"/>
    <w:rsid w:val="00E46FD7"/>
    <w:rsid w:val="00E470B2"/>
    <w:rsid w:val="00E47A41"/>
    <w:rsid w:val="00E501DC"/>
    <w:rsid w:val="00E51266"/>
    <w:rsid w:val="00E51D26"/>
    <w:rsid w:val="00E5203E"/>
    <w:rsid w:val="00E53432"/>
    <w:rsid w:val="00E54230"/>
    <w:rsid w:val="00E544AF"/>
    <w:rsid w:val="00E55568"/>
    <w:rsid w:val="00E5615B"/>
    <w:rsid w:val="00E563A4"/>
    <w:rsid w:val="00E575C2"/>
    <w:rsid w:val="00E57834"/>
    <w:rsid w:val="00E57B56"/>
    <w:rsid w:val="00E57E0D"/>
    <w:rsid w:val="00E60DFA"/>
    <w:rsid w:val="00E62353"/>
    <w:rsid w:val="00E624E3"/>
    <w:rsid w:val="00E62EDA"/>
    <w:rsid w:val="00E6315C"/>
    <w:rsid w:val="00E66AD8"/>
    <w:rsid w:val="00E66C91"/>
    <w:rsid w:val="00E66FA7"/>
    <w:rsid w:val="00E676F1"/>
    <w:rsid w:val="00E713D6"/>
    <w:rsid w:val="00E72634"/>
    <w:rsid w:val="00E72A69"/>
    <w:rsid w:val="00E73E15"/>
    <w:rsid w:val="00E73F84"/>
    <w:rsid w:val="00E7405B"/>
    <w:rsid w:val="00E7506D"/>
    <w:rsid w:val="00E75100"/>
    <w:rsid w:val="00E757D7"/>
    <w:rsid w:val="00E75A36"/>
    <w:rsid w:val="00E76C2F"/>
    <w:rsid w:val="00E76CB1"/>
    <w:rsid w:val="00E76E27"/>
    <w:rsid w:val="00E77824"/>
    <w:rsid w:val="00E77B87"/>
    <w:rsid w:val="00E77C67"/>
    <w:rsid w:val="00E80548"/>
    <w:rsid w:val="00E81B77"/>
    <w:rsid w:val="00E822C7"/>
    <w:rsid w:val="00E83CF2"/>
    <w:rsid w:val="00E83E31"/>
    <w:rsid w:val="00E842D5"/>
    <w:rsid w:val="00E8494B"/>
    <w:rsid w:val="00E84982"/>
    <w:rsid w:val="00E849AA"/>
    <w:rsid w:val="00E85508"/>
    <w:rsid w:val="00E85A43"/>
    <w:rsid w:val="00E85EFF"/>
    <w:rsid w:val="00E85F63"/>
    <w:rsid w:val="00E8609F"/>
    <w:rsid w:val="00E8648B"/>
    <w:rsid w:val="00E866B8"/>
    <w:rsid w:val="00E86CC2"/>
    <w:rsid w:val="00E86ECE"/>
    <w:rsid w:val="00E87103"/>
    <w:rsid w:val="00E87117"/>
    <w:rsid w:val="00E87A37"/>
    <w:rsid w:val="00E900D1"/>
    <w:rsid w:val="00E9053B"/>
    <w:rsid w:val="00E914A0"/>
    <w:rsid w:val="00E91FDB"/>
    <w:rsid w:val="00E92C6C"/>
    <w:rsid w:val="00E93C06"/>
    <w:rsid w:val="00E9423C"/>
    <w:rsid w:val="00E948A1"/>
    <w:rsid w:val="00E94CE8"/>
    <w:rsid w:val="00E94DDC"/>
    <w:rsid w:val="00E956CA"/>
    <w:rsid w:val="00E96143"/>
    <w:rsid w:val="00E97AAC"/>
    <w:rsid w:val="00E97B80"/>
    <w:rsid w:val="00EA005B"/>
    <w:rsid w:val="00EA0789"/>
    <w:rsid w:val="00EA0E92"/>
    <w:rsid w:val="00EA1F33"/>
    <w:rsid w:val="00EA27E0"/>
    <w:rsid w:val="00EA38E7"/>
    <w:rsid w:val="00EA4378"/>
    <w:rsid w:val="00EA5561"/>
    <w:rsid w:val="00EA5734"/>
    <w:rsid w:val="00EA5CE7"/>
    <w:rsid w:val="00EA697E"/>
    <w:rsid w:val="00EA6CD1"/>
    <w:rsid w:val="00EA6D84"/>
    <w:rsid w:val="00EA72B0"/>
    <w:rsid w:val="00EB0C08"/>
    <w:rsid w:val="00EB0DDD"/>
    <w:rsid w:val="00EB16F7"/>
    <w:rsid w:val="00EB1B82"/>
    <w:rsid w:val="00EB2040"/>
    <w:rsid w:val="00EB262C"/>
    <w:rsid w:val="00EB2712"/>
    <w:rsid w:val="00EB304E"/>
    <w:rsid w:val="00EB39FE"/>
    <w:rsid w:val="00EB3BD2"/>
    <w:rsid w:val="00EB3E7D"/>
    <w:rsid w:val="00EB4869"/>
    <w:rsid w:val="00EB4C35"/>
    <w:rsid w:val="00EB546C"/>
    <w:rsid w:val="00EB5B81"/>
    <w:rsid w:val="00EB5E8F"/>
    <w:rsid w:val="00EB6FC9"/>
    <w:rsid w:val="00EB7BD0"/>
    <w:rsid w:val="00EB7FB3"/>
    <w:rsid w:val="00EC0757"/>
    <w:rsid w:val="00EC0808"/>
    <w:rsid w:val="00EC0E70"/>
    <w:rsid w:val="00EC114B"/>
    <w:rsid w:val="00EC1D81"/>
    <w:rsid w:val="00EC1EE9"/>
    <w:rsid w:val="00EC280C"/>
    <w:rsid w:val="00EC2E9D"/>
    <w:rsid w:val="00EC3263"/>
    <w:rsid w:val="00EC3C2E"/>
    <w:rsid w:val="00EC3C6A"/>
    <w:rsid w:val="00EC4A57"/>
    <w:rsid w:val="00EC5597"/>
    <w:rsid w:val="00EC62A6"/>
    <w:rsid w:val="00EC6AEE"/>
    <w:rsid w:val="00EC7075"/>
    <w:rsid w:val="00ED02E2"/>
    <w:rsid w:val="00ED1C61"/>
    <w:rsid w:val="00ED2418"/>
    <w:rsid w:val="00ED29D5"/>
    <w:rsid w:val="00ED33FC"/>
    <w:rsid w:val="00ED47D3"/>
    <w:rsid w:val="00ED50DF"/>
    <w:rsid w:val="00ED5449"/>
    <w:rsid w:val="00ED5AD5"/>
    <w:rsid w:val="00ED759E"/>
    <w:rsid w:val="00ED7B9D"/>
    <w:rsid w:val="00ED7DFB"/>
    <w:rsid w:val="00ED7F3E"/>
    <w:rsid w:val="00EE0838"/>
    <w:rsid w:val="00EE0F81"/>
    <w:rsid w:val="00EE147E"/>
    <w:rsid w:val="00EE2206"/>
    <w:rsid w:val="00EE2391"/>
    <w:rsid w:val="00EE270E"/>
    <w:rsid w:val="00EE2921"/>
    <w:rsid w:val="00EE3512"/>
    <w:rsid w:val="00EE42D8"/>
    <w:rsid w:val="00EE4A59"/>
    <w:rsid w:val="00EE4EFD"/>
    <w:rsid w:val="00EE51D5"/>
    <w:rsid w:val="00EE6D93"/>
    <w:rsid w:val="00EE73F8"/>
    <w:rsid w:val="00EE7648"/>
    <w:rsid w:val="00EE79F0"/>
    <w:rsid w:val="00EE7ED9"/>
    <w:rsid w:val="00EF0B77"/>
    <w:rsid w:val="00EF1470"/>
    <w:rsid w:val="00EF1DC0"/>
    <w:rsid w:val="00EF2270"/>
    <w:rsid w:val="00EF2322"/>
    <w:rsid w:val="00EF2538"/>
    <w:rsid w:val="00EF26C4"/>
    <w:rsid w:val="00EF38BB"/>
    <w:rsid w:val="00EF573E"/>
    <w:rsid w:val="00EF61E4"/>
    <w:rsid w:val="00EF63ED"/>
    <w:rsid w:val="00EF6697"/>
    <w:rsid w:val="00EF66AE"/>
    <w:rsid w:val="00EF6A1F"/>
    <w:rsid w:val="00EF6A69"/>
    <w:rsid w:val="00F00817"/>
    <w:rsid w:val="00F00B80"/>
    <w:rsid w:val="00F0248D"/>
    <w:rsid w:val="00F0299E"/>
    <w:rsid w:val="00F047EC"/>
    <w:rsid w:val="00F051F3"/>
    <w:rsid w:val="00F05601"/>
    <w:rsid w:val="00F05835"/>
    <w:rsid w:val="00F0649B"/>
    <w:rsid w:val="00F106A0"/>
    <w:rsid w:val="00F11CA6"/>
    <w:rsid w:val="00F11DB5"/>
    <w:rsid w:val="00F12ABC"/>
    <w:rsid w:val="00F13F7D"/>
    <w:rsid w:val="00F14112"/>
    <w:rsid w:val="00F1486A"/>
    <w:rsid w:val="00F14B11"/>
    <w:rsid w:val="00F15DA4"/>
    <w:rsid w:val="00F16B5B"/>
    <w:rsid w:val="00F17340"/>
    <w:rsid w:val="00F17347"/>
    <w:rsid w:val="00F21FF0"/>
    <w:rsid w:val="00F221E6"/>
    <w:rsid w:val="00F2227B"/>
    <w:rsid w:val="00F22DB7"/>
    <w:rsid w:val="00F24DEB"/>
    <w:rsid w:val="00F26EFE"/>
    <w:rsid w:val="00F273DC"/>
    <w:rsid w:val="00F2794E"/>
    <w:rsid w:val="00F31797"/>
    <w:rsid w:val="00F31F4F"/>
    <w:rsid w:val="00F3221D"/>
    <w:rsid w:val="00F324A1"/>
    <w:rsid w:val="00F32CC9"/>
    <w:rsid w:val="00F32D52"/>
    <w:rsid w:val="00F33AAC"/>
    <w:rsid w:val="00F34670"/>
    <w:rsid w:val="00F34B87"/>
    <w:rsid w:val="00F36210"/>
    <w:rsid w:val="00F37869"/>
    <w:rsid w:val="00F37BEF"/>
    <w:rsid w:val="00F37FD9"/>
    <w:rsid w:val="00F40251"/>
    <w:rsid w:val="00F404E6"/>
    <w:rsid w:val="00F40A0C"/>
    <w:rsid w:val="00F42617"/>
    <w:rsid w:val="00F42680"/>
    <w:rsid w:val="00F42D1C"/>
    <w:rsid w:val="00F4336A"/>
    <w:rsid w:val="00F43AA6"/>
    <w:rsid w:val="00F43DA1"/>
    <w:rsid w:val="00F446F5"/>
    <w:rsid w:val="00F4483E"/>
    <w:rsid w:val="00F4582B"/>
    <w:rsid w:val="00F45E00"/>
    <w:rsid w:val="00F4605F"/>
    <w:rsid w:val="00F46A3B"/>
    <w:rsid w:val="00F46A88"/>
    <w:rsid w:val="00F47104"/>
    <w:rsid w:val="00F4779F"/>
    <w:rsid w:val="00F5151E"/>
    <w:rsid w:val="00F51F79"/>
    <w:rsid w:val="00F5215C"/>
    <w:rsid w:val="00F5293D"/>
    <w:rsid w:val="00F52A24"/>
    <w:rsid w:val="00F52D9F"/>
    <w:rsid w:val="00F54460"/>
    <w:rsid w:val="00F54BD9"/>
    <w:rsid w:val="00F54E0B"/>
    <w:rsid w:val="00F550A3"/>
    <w:rsid w:val="00F55123"/>
    <w:rsid w:val="00F55360"/>
    <w:rsid w:val="00F55F71"/>
    <w:rsid w:val="00F56176"/>
    <w:rsid w:val="00F57D7D"/>
    <w:rsid w:val="00F57FFC"/>
    <w:rsid w:val="00F606AD"/>
    <w:rsid w:val="00F60CC5"/>
    <w:rsid w:val="00F61802"/>
    <w:rsid w:val="00F62404"/>
    <w:rsid w:val="00F63B78"/>
    <w:rsid w:val="00F642C8"/>
    <w:rsid w:val="00F65B7B"/>
    <w:rsid w:val="00F65D7C"/>
    <w:rsid w:val="00F6643C"/>
    <w:rsid w:val="00F6656F"/>
    <w:rsid w:val="00F67EEC"/>
    <w:rsid w:val="00F705E0"/>
    <w:rsid w:val="00F70CE7"/>
    <w:rsid w:val="00F70F58"/>
    <w:rsid w:val="00F71060"/>
    <w:rsid w:val="00F727C2"/>
    <w:rsid w:val="00F737A5"/>
    <w:rsid w:val="00F73830"/>
    <w:rsid w:val="00F741BA"/>
    <w:rsid w:val="00F750DF"/>
    <w:rsid w:val="00F767F5"/>
    <w:rsid w:val="00F7681B"/>
    <w:rsid w:val="00F76BD7"/>
    <w:rsid w:val="00F81764"/>
    <w:rsid w:val="00F81F79"/>
    <w:rsid w:val="00F8235D"/>
    <w:rsid w:val="00F82462"/>
    <w:rsid w:val="00F82522"/>
    <w:rsid w:val="00F839D5"/>
    <w:rsid w:val="00F843A8"/>
    <w:rsid w:val="00F84423"/>
    <w:rsid w:val="00F8486D"/>
    <w:rsid w:val="00F85AB0"/>
    <w:rsid w:val="00F86A5E"/>
    <w:rsid w:val="00F86E08"/>
    <w:rsid w:val="00F86F08"/>
    <w:rsid w:val="00F86F0C"/>
    <w:rsid w:val="00F90223"/>
    <w:rsid w:val="00F903A0"/>
    <w:rsid w:val="00F90E0F"/>
    <w:rsid w:val="00F90FE3"/>
    <w:rsid w:val="00F9137E"/>
    <w:rsid w:val="00F91C2E"/>
    <w:rsid w:val="00F9228F"/>
    <w:rsid w:val="00F93061"/>
    <w:rsid w:val="00F93108"/>
    <w:rsid w:val="00F931CE"/>
    <w:rsid w:val="00F932D4"/>
    <w:rsid w:val="00F93674"/>
    <w:rsid w:val="00F936B5"/>
    <w:rsid w:val="00F93DC0"/>
    <w:rsid w:val="00F9491A"/>
    <w:rsid w:val="00F94D7C"/>
    <w:rsid w:val="00F950CF"/>
    <w:rsid w:val="00F95135"/>
    <w:rsid w:val="00F95176"/>
    <w:rsid w:val="00F95C1D"/>
    <w:rsid w:val="00F969AC"/>
    <w:rsid w:val="00F96B47"/>
    <w:rsid w:val="00F97F97"/>
    <w:rsid w:val="00FA0157"/>
    <w:rsid w:val="00FA09A2"/>
    <w:rsid w:val="00FA0B97"/>
    <w:rsid w:val="00FA0CFB"/>
    <w:rsid w:val="00FA1341"/>
    <w:rsid w:val="00FA1C46"/>
    <w:rsid w:val="00FA23DE"/>
    <w:rsid w:val="00FA27A2"/>
    <w:rsid w:val="00FA3249"/>
    <w:rsid w:val="00FA3C87"/>
    <w:rsid w:val="00FA3EF7"/>
    <w:rsid w:val="00FA4ACB"/>
    <w:rsid w:val="00FA56C8"/>
    <w:rsid w:val="00FA570B"/>
    <w:rsid w:val="00FA62B3"/>
    <w:rsid w:val="00FA62C8"/>
    <w:rsid w:val="00FA66AB"/>
    <w:rsid w:val="00FA6C64"/>
    <w:rsid w:val="00FA6D9E"/>
    <w:rsid w:val="00FA7567"/>
    <w:rsid w:val="00FA77A6"/>
    <w:rsid w:val="00FA7ADF"/>
    <w:rsid w:val="00FB017B"/>
    <w:rsid w:val="00FB02F5"/>
    <w:rsid w:val="00FB03DC"/>
    <w:rsid w:val="00FB0A5D"/>
    <w:rsid w:val="00FB10B7"/>
    <w:rsid w:val="00FB1412"/>
    <w:rsid w:val="00FB1436"/>
    <w:rsid w:val="00FB1ABA"/>
    <w:rsid w:val="00FB1C8C"/>
    <w:rsid w:val="00FB22FF"/>
    <w:rsid w:val="00FB3344"/>
    <w:rsid w:val="00FB3931"/>
    <w:rsid w:val="00FB400D"/>
    <w:rsid w:val="00FB4B5D"/>
    <w:rsid w:val="00FB4D2B"/>
    <w:rsid w:val="00FB58B6"/>
    <w:rsid w:val="00FB6228"/>
    <w:rsid w:val="00FB743B"/>
    <w:rsid w:val="00FB7755"/>
    <w:rsid w:val="00FC0D62"/>
    <w:rsid w:val="00FC0FEF"/>
    <w:rsid w:val="00FC281F"/>
    <w:rsid w:val="00FC34FA"/>
    <w:rsid w:val="00FC371C"/>
    <w:rsid w:val="00FC3D02"/>
    <w:rsid w:val="00FC4E30"/>
    <w:rsid w:val="00FC66E3"/>
    <w:rsid w:val="00FC68C0"/>
    <w:rsid w:val="00FD1206"/>
    <w:rsid w:val="00FD1530"/>
    <w:rsid w:val="00FD1574"/>
    <w:rsid w:val="00FD1616"/>
    <w:rsid w:val="00FD1AA1"/>
    <w:rsid w:val="00FD1AC8"/>
    <w:rsid w:val="00FD1C41"/>
    <w:rsid w:val="00FD244D"/>
    <w:rsid w:val="00FD352D"/>
    <w:rsid w:val="00FD379B"/>
    <w:rsid w:val="00FD3E5E"/>
    <w:rsid w:val="00FD5180"/>
    <w:rsid w:val="00FD5A62"/>
    <w:rsid w:val="00FD60F8"/>
    <w:rsid w:val="00FD6CC7"/>
    <w:rsid w:val="00FE0E07"/>
    <w:rsid w:val="00FE19D5"/>
    <w:rsid w:val="00FE1CA7"/>
    <w:rsid w:val="00FE2A30"/>
    <w:rsid w:val="00FE4629"/>
    <w:rsid w:val="00FE4662"/>
    <w:rsid w:val="00FE6D99"/>
    <w:rsid w:val="00FE6F4E"/>
    <w:rsid w:val="00FE735D"/>
    <w:rsid w:val="00FF030E"/>
    <w:rsid w:val="00FF07BF"/>
    <w:rsid w:val="00FF0A52"/>
    <w:rsid w:val="00FF1DD4"/>
    <w:rsid w:val="00FF20E3"/>
    <w:rsid w:val="00FF239A"/>
    <w:rsid w:val="00FF23B0"/>
    <w:rsid w:val="00FF269B"/>
    <w:rsid w:val="00FF2782"/>
    <w:rsid w:val="00FF4B61"/>
    <w:rsid w:val="00FF5D63"/>
    <w:rsid w:val="00FF5EA6"/>
    <w:rsid w:val="00FF5FAB"/>
    <w:rsid w:val="00FF6167"/>
    <w:rsid w:val="00FF6260"/>
    <w:rsid w:val="00FF669C"/>
    <w:rsid w:val="00FF6E7B"/>
    <w:rsid w:val="00FF7134"/>
    <w:rsid w:val="00FF76BF"/>
    <w:rsid w:val="00FF7774"/>
    <w:rsid w:val="01392FF2"/>
    <w:rsid w:val="013B02DA"/>
    <w:rsid w:val="02A75CE6"/>
    <w:rsid w:val="03766A4C"/>
    <w:rsid w:val="04351B1E"/>
    <w:rsid w:val="059652F0"/>
    <w:rsid w:val="05AF46A9"/>
    <w:rsid w:val="05EF03F3"/>
    <w:rsid w:val="09DB7DCE"/>
    <w:rsid w:val="0A1C1284"/>
    <w:rsid w:val="0B0A02A5"/>
    <w:rsid w:val="0B444A27"/>
    <w:rsid w:val="0BE300B2"/>
    <w:rsid w:val="0D2C02BA"/>
    <w:rsid w:val="0DE87A43"/>
    <w:rsid w:val="0EC3241C"/>
    <w:rsid w:val="0ECD2CAC"/>
    <w:rsid w:val="116101C8"/>
    <w:rsid w:val="11651B96"/>
    <w:rsid w:val="12042B30"/>
    <w:rsid w:val="12555A81"/>
    <w:rsid w:val="12B0310A"/>
    <w:rsid w:val="1312127D"/>
    <w:rsid w:val="13530E99"/>
    <w:rsid w:val="13565411"/>
    <w:rsid w:val="148D1503"/>
    <w:rsid w:val="1791130A"/>
    <w:rsid w:val="180C069F"/>
    <w:rsid w:val="189664AC"/>
    <w:rsid w:val="18AD46D3"/>
    <w:rsid w:val="19CC621A"/>
    <w:rsid w:val="1B83540D"/>
    <w:rsid w:val="1B866CAC"/>
    <w:rsid w:val="1C331726"/>
    <w:rsid w:val="1C7C24C7"/>
    <w:rsid w:val="201056CD"/>
    <w:rsid w:val="20203587"/>
    <w:rsid w:val="20931C4F"/>
    <w:rsid w:val="20D776A5"/>
    <w:rsid w:val="214B46C9"/>
    <w:rsid w:val="21731DD2"/>
    <w:rsid w:val="22925F36"/>
    <w:rsid w:val="23E94CBE"/>
    <w:rsid w:val="24AF348A"/>
    <w:rsid w:val="24D42836"/>
    <w:rsid w:val="256911D0"/>
    <w:rsid w:val="26AA7CF2"/>
    <w:rsid w:val="27944EBF"/>
    <w:rsid w:val="27B2445D"/>
    <w:rsid w:val="29453D02"/>
    <w:rsid w:val="294F00C5"/>
    <w:rsid w:val="2A100637"/>
    <w:rsid w:val="2A6E1037"/>
    <w:rsid w:val="2AEC4567"/>
    <w:rsid w:val="2B3D7387"/>
    <w:rsid w:val="2C884632"/>
    <w:rsid w:val="2D8139D7"/>
    <w:rsid w:val="2D830198"/>
    <w:rsid w:val="2DC07527"/>
    <w:rsid w:val="2DE1756A"/>
    <w:rsid w:val="2E0917A2"/>
    <w:rsid w:val="2E5B7B24"/>
    <w:rsid w:val="2EF064BE"/>
    <w:rsid w:val="2F175CB9"/>
    <w:rsid w:val="301461DC"/>
    <w:rsid w:val="301E537C"/>
    <w:rsid w:val="30347D42"/>
    <w:rsid w:val="30996D3C"/>
    <w:rsid w:val="30F05651"/>
    <w:rsid w:val="31FD7870"/>
    <w:rsid w:val="32273FA8"/>
    <w:rsid w:val="35C906EF"/>
    <w:rsid w:val="36106043"/>
    <w:rsid w:val="3AC2324C"/>
    <w:rsid w:val="3BE93220"/>
    <w:rsid w:val="3CB13731"/>
    <w:rsid w:val="3CED228F"/>
    <w:rsid w:val="3E8B03C8"/>
    <w:rsid w:val="405006FB"/>
    <w:rsid w:val="406B009A"/>
    <w:rsid w:val="40B7508E"/>
    <w:rsid w:val="411B6FC3"/>
    <w:rsid w:val="426C5505"/>
    <w:rsid w:val="43106CD7"/>
    <w:rsid w:val="43162B45"/>
    <w:rsid w:val="43761230"/>
    <w:rsid w:val="441E20D9"/>
    <w:rsid w:val="45C2032E"/>
    <w:rsid w:val="45FE72BB"/>
    <w:rsid w:val="46DF349F"/>
    <w:rsid w:val="491C0184"/>
    <w:rsid w:val="492817AA"/>
    <w:rsid w:val="498B04AA"/>
    <w:rsid w:val="4C1714F2"/>
    <w:rsid w:val="4C4C5224"/>
    <w:rsid w:val="4D151366"/>
    <w:rsid w:val="4DC870B9"/>
    <w:rsid w:val="4EC07803"/>
    <w:rsid w:val="50C319B2"/>
    <w:rsid w:val="51CB4FF7"/>
    <w:rsid w:val="53131938"/>
    <w:rsid w:val="538F34F1"/>
    <w:rsid w:val="54931516"/>
    <w:rsid w:val="55B771C4"/>
    <w:rsid w:val="57687845"/>
    <w:rsid w:val="59010176"/>
    <w:rsid w:val="596778CE"/>
    <w:rsid w:val="59680407"/>
    <w:rsid w:val="5A681A97"/>
    <w:rsid w:val="5D83037A"/>
    <w:rsid w:val="5DBC0DAF"/>
    <w:rsid w:val="5DC430FF"/>
    <w:rsid w:val="5E536774"/>
    <w:rsid w:val="5E6F55A5"/>
    <w:rsid w:val="5EB4501D"/>
    <w:rsid w:val="5FAA35C6"/>
    <w:rsid w:val="62C0797A"/>
    <w:rsid w:val="641644E4"/>
    <w:rsid w:val="64971FCF"/>
    <w:rsid w:val="66DE2AC5"/>
    <w:rsid w:val="673256C2"/>
    <w:rsid w:val="67BD092C"/>
    <w:rsid w:val="67E10ABE"/>
    <w:rsid w:val="68A67E90"/>
    <w:rsid w:val="69030C21"/>
    <w:rsid w:val="6A641533"/>
    <w:rsid w:val="6BD66471"/>
    <w:rsid w:val="6C00528B"/>
    <w:rsid w:val="6D012177"/>
    <w:rsid w:val="6DCE74BA"/>
    <w:rsid w:val="6E274266"/>
    <w:rsid w:val="6E8C2E06"/>
    <w:rsid w:val="6F0A750C"/>
    <w:rsid w:val="710C460F"/>
    <w:rsid w:val="71325EE7"/>
    <w:rsid w:val="72D0315F"/>
    <w:rsid w:val="734939BC"/>
    <w:rsid w:val="73514F0C"/>
    <w:rsid w:val="736A2E33"/>
    <w:rsid w:val="73AF768E"/>
    <w:rsid w:val="742D0BE7"/>
    <w:rsid w:val="746A5998"/>
    <w:rsid w:val="763005C4"/>
    <w:rsid w:val="77AB69F3"/>
    <w:rsid w:val="789234D3"/>
    <w:rsid w:val="79F3642F"/>
    <w:rsid w:val="7BD33C5F"/>
    <w:rsid w:val="7D467CA5"/>
    <w:rsid w:val="7E306AC0"/>
    <w:rsid w:val="7E9D6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44"/>
      <w:szCs w:val="44"/>
      <w:lang w:val="zh-CN"/>
    </w:rPr>
  </w:style>
  <w:style w:type="character" w:default="1" w:styleId="25">
    <w:name w:val="Default Paragraph Font"/>
    <w:semiHidden/>
    <w:unhideWhenUsed/>
    <w:uiPriority w:val="1"/>
  </w:style>
  <w:style w:type="table" w:default="1" w:styleId="23">
    <w:name w:val="Normal Table"/>
    <w:semiHidden/>
    <w:unhideWhenUsed/>
    <w:uiPriority w:val="99"/>
    <w:tblPr>
      <w:tblCellMar>
        <w:top w:w="0" w:type="dxa"/>
        <w:left w:w="108" w:type="dxa"/>
        <w:bottom w:w="0" w:type="dxa"/>
        <w:right w:w="108" w:type="dxa"/>
      </w:tblCellMar>
    </w:tblPr>
  </w:style>
  <w:style w:type="paragraph" w:styleId="3">
    <w:name w:val="toc 7"/>
    <w:basedOn w:val="1"/>
    <w:next w:val="1"/>
    <w:unhideWhenUsed/>
    <w:qFormat/>
    <w:uiPriority w:val="39"/>
    <w:pPr>
      <w:pBdr>
        <w:between w:val="double" w:color="auto" w:sz="6" w:space="0"/>
      </w:pBdr>
      <w:spacing w:before="120" w:after="120"/>
      <w:ind w:left="1050"/>
      <w:jc w:val="center"/>
    </w:pPr>
    <w:rPr>
      <w:sz w:val="20"/>
      <w:szCs w:val="20"/>
    </w:rPr>
  </w:style>
  <w:style w:type="paragraph" w:styleId="4">
    <w:name w:val="Document Map"/>
    <w:basedOn w:val="1"/>
    <w:link w:val="34"/>
    <w:semiHidden/>
    <w:unhideWhenUsed/>
    <w:qFormat/>
    <w:uiPriority w:val="99"/>
    <w:rPr>
      <w:rFonts w:ascii="宋体"/>
      <w:sz w:val="18"/>
      <w:szCs w:val="18"/>
      <w:lang w:val="zh-CN"/>
    </w:rPr>
  </w:style>
  <w:style w:type="paragraph" w:styleId="5">
    <w:name w:val="annotation text"/>
    <w:basedOn w:val="1"/>
    <w:link w:val="37"/>
    <w:unhideWhenUsed/>
    <w:qFormat/>
    <w:uiPriority w:val="99"/>
    <w:pPr>
      <w:jc w:val="left"/>
    </w:pPr>
    <w:rPr>
      <w:lang w:val="zh-CN"/>
    </w:rPr>
  </w:style>
  <w:style w:type="paragraph" w:styleId="6">
    <w:name w:val="Body Text Indent"/>
    <w:basedOn w:val="1"/>
    <w:link w:val="35"/>
    <w:qFormat/>
    <w:uiPriority w:val="0"/>
    <w:pPr>
      <w:ind w:left="479"/>
    </w:pPr>
    <w:rPr>
      <w:rFonts w:ascii="Times New Roman" w:hAnsi="Times New Roman"/>
      <w:sz w:val="24"/>
      <w:szCs w:val="20"/>
      <w:lang w:val="zh-CN"/>
    </w:rPr>
  </w:style>
  <w:style w:type="paragraph" w:styleId="7">
    <w:name w:val="Block Text"/>
    <w:basedOn w:val="1"/>
    <w:qFormat/>
    <w:uiPriority w:val="0"/>
    <w:pPr>
      <w:adjustRightInd w:val="0"/>
      <w:spacing w:line="260" w:lineRule="exact"/>
      <w:ind w:left="1054" w:right="84" w:rightChars="40"/>
    </w:pPr>
    <w:rPr>
      <w:rFonts w:ascii="Times New Roman" w:hAnsi="Times New Roman"/>
      <w:bCs/>
      <w:color w:val="000000"/>
      <w:szCs w:val="20"/>
    </w:rPr>
  </w:style>
  <w:style w:type="paragraph" w:styleId="8">
    <w:name w:val="toc 5"/>
    <w:basedOn w:val="1"/>
    <w:next w:val="1"/>
    <w:unhideWhenUsed/>
    <w:qFormat/>
    <w:uiPriority w:val="39"/>
    <w:pPr>
      <w:pBdr>
        <w:between w:val="double" w:color="auto" w:sz="6" w:space="0"/>
      </w:pBdr>
      <w:spacing w:before="120" w:after="120"/>
      <w:ind w:left="630"/>
      <w:jc w:val="center"/>
    </w:pPr>
    <w:rPr>
      <w:sz w:val="20"/>
      <w:szCs w:val="20"/>
    </w:rPr>
  </w:style>
  <w:style w:type="paragraph" w:styleId="9">
    <w:name w:val="toc 3"/>
    <w:basedOn w:val="1"/>
    <w:next w:val="1"/>
    <w:unhideWhenUsed/>
    <w:qFormat/>
    <w:uiPriority w:val="39"/>
    <w:pPr>
      <w:pBdr>
        <w:between w:val="double" w:color="auto" w:sz="6" w:space="0"/>
      </w:pBdr>
      <w:spacing w:before="120" w:after="120"/>
      <w:ind w:left="210"/>
      <w:jc w:val="center"/>
    </w:pPr>
    <w:rPr>
      <w:sz w:val="20"/>
      <w:szCs w:val="20"/>
    </w:rPr>
  </w:style>
  <w:style w:type="paragraph" w:styleId="10">
    <w:name w:val="toc 8"/>
    <w:basedOn w:val="1"/>
    <w:next w:val="1"/>
    <w:unhideWhenUsed/>
    <w:qFormat/>
    <w:uiPriority w:val="39"/>
    <w:pPr>
      <w:pBdr>
        <w:between w:val="double" w:color="auto" w:sz="6" w:space="0"/>
      </w:pBdr>
      <w:spacing w:before="120" w:after="120"/>
      <w:ind w:left="1260"/>
      <w:jc w:val="center"/>
    </w:pPr>
    <w:rPr>
      <w:sz w:val="20"/>
      <w:szCs w:val="20"/>
    </w:rPr>
  </w:style>
  <w:style w:type="paragraph" w:styleId="11">
    <w:name w:val="Date"/>
    <w:basedOn w:val="1"/>
    <w:next w:val="1"/>
    <w:link w:val="39"/>
    <w:autoRedefine/>
    <w:semiHidden/>
    <w:unhideWhenUsed/>
    <w:qFormat/>
    <w:uiPriority w:val="99"/>
    <w:pPr>
      <w:ind w:left="100" w:leftChars="2500"/>
    </w:pPr>
    <w:rPr>
      <w:lang w:val="zh-CN"/>
    </w:rPr>
  </w:style>
  <w:style w:type="paragraph" w:styleId="12">
    <w:name w:val="Balloon Text"/>
    <w:basedOn w:val="1"/>
    <w:link w:val="36"/>
    <w:semiHidden/>
    <w:unhideWhenUsed/>
    <w:qFormat/>
    <w:uiPriority w:val="99"/>
    <w:rPr>
      <w:sz w:val="18"/>
      <w:szCs w:val="18"/>
      <w:lang w:val="zh-CN"/>
    </w:rPr>
  </w:style>
  <w:style w:type="paragraph" w:styleId="13">
    <w:name w:val="footer"/>
    <w:basedOn w:val="1"/>
    <w:link w:val="32"/>
    <w:unhideWhenUsed/>
    <w:qFormat/>
    <w:uiPriority w:val="99"/>
    <w:pPr>
      <w:tabs>
        <w:tab w:val="center" w:pos="4153"/>
        <w:tab w:val="right" w:pos="8306"/>
      </w:tabs>
      <w:snapToGrid w:val="0"/>
      <w:jc w:val="left"/>
    </w:pPr>
    <w:rPr>
      <w:kern w:val="0"/>
      <w:sz w:val="18"/>
      <w:szCs w:val="18"/>
      <w:lang w:val="zh-CN"/>
    </w:rPr>
  </w:style>
  <w:style w:type="paragraph" w:styleId="14">
    <w:name w:val="header"/>
    <w:basedOn w:val="1"/>
    <w:link w:val="31"/>
    <w:unhideWhenUsed/>
    <w:qFormat/>
    <w:uiPriority w:val="99"/>
    <w:pPr>
      <w:pBdr>
        <w:bottom w:val="single" w:color="auto" w:sz="6" w:space="1"/>
      </w:pBdr>
      <w:tabs>
        <w:tab w:val="center" w:pos="4153"/>
        <w:tab w:val="right" w:pos="8306"/>
      </w:tabs>
      <w:snapToGrid w:val="0"/>
      <w:jc w:val="center"/>
    </w:pPr>
    <w:rPr>
      <w:kern w:val="0"/>
      <w:sz w:val="18"/>
      <w:szCs w:val="18"/>
      <w:lang w:val="zh-CN"/>
    </w:rPr>
  </w:style>
  <w:style w:type="paragraph" w:styleId="15">
    <w:name w:val="toc 1"/>
    <w:basedOn w:val="1"/>
    <w:next w:val="1"/>
    <w:unhideWhenUsed/>
    <w:qFormat/>
    <w:uiPriority w:val="39"/>
    <w:pPr>
      <w:pBdr>
        <w:between w:val="double" w:color="auto" w:sz="6" w:space="0"/>
      </w:pBdr>
      <w:spacing w:before="120" w:after="120"/>
      <w:jc w:val="center"/>
    </w:pPr>
    <w:rPr>
      <w:b/>
      <w:bCs/>
      <w:i/>
      <w:iCs/>
      <w:sz w:val="24"/>
      <w:szCs w:val="24"/>
    </w:rPr>
  </w:style>
  <w:style w:type="paragraph" w:styleId="16">
    <w:name w:val="toc 4"/>
    <w:basedOn w:val="1"/>
    <w:next w:val="1"/>
    <w:unhideWhenUsed/>
    <w:qFormat/>
    <w:uiPriority w:val="39"/>
    <w:pPr>
      <w:pBdr>
        <w:between w:val="double" w:color="auto" w:sz="6" w:space="0"/>
      </w:pBdr>
      <w:spacing w:before="120" w:after="120"/>
      <w:ind w:left="420"/>
      <w:jc w:val="center"/>
    </w:pPr>
    <w:rPr>
      <w:sz w:val="20"/>
      <w:szCs w:val="20"/>
    </w:rPr>
  </w:style>
  <w:style w:type="paragraph" w:styleId="17">
    <w:name w:val="toc 6"/>
    <w:basedOn w:val="1"/>
    <w:next w:val="1"/>
    <w:unhideWhenUsed/>
    <w:qFormat/>
    <w:uiPriority w:val="39"/>
    <w:pPr>
      <w:pBdr>
        <w:between w:val="double" w:color="auto" w:sz="6" w:space="0"/>
      </w:pBdr>
      <w:spacing w:before="120" w:after="120"/>
      <w:ind w:left="840"/>
      <w:jc w:val="center"/>
    </w:pPr>
    <w:rPr>
      <w:sz w:val="20"/>
      <w:szCs w:val="20"/>
    </w:rPr>
  </w:style>
  <w:style w:type="paragraph" w:styleId="18">
    <w:name w:val="toc 2"/>
    <w:basedOn w:val="1"/>
    <w:next w:val="1"/>
    <w:unhideWhenUsed/>
    <w:qFormat/>
    <w:uiPriority w:val="39"/>
    <w:pPr>
      <w:pBdr>
        <w:between w:val="double" w:color="auto" w:sz="6" w:space="0"/>
      </w:pBdr>
      <w:spacing w:before="120" w:after="120"/>
      <w:jc w:val="center"/>
    </w:pPr>
    <w:rPr>
      <w:i/>
      <w:iCs/>
      <w:sz w:val="20"/>
      <w:szCs w:val="20"/>
    </w:rPr>
  </w:style>
  <w:style w:type="paragraph" w:styleId="19">
    <w:name w:val="toc 9"/>
    <w:basedOn w:val="1"/>
    <w:next w:val="1"/>
    <w:unhideWhenUsed/>
    <w:qFormat/>
    <w:uiPriority w:val="39"/>
    <w:pPr>
      <w:pBdr>
        <w:between w:val="double" w:color="auto" w:sz="6" w:space="0"/>
      </w:pBdr>
      <w:spacing w:before="120" w:after="120"/>
      <w:ind w:left="1470"/>
      <w:jc w:val="center"/>
    </w:pPr>
    <w:rPr>
      <w:sz w:val="20"/>
      <w:szCs w:val="20"/>
    </w:rPr>
  </w:style>
  <w:style w:type="paragraph" w:styleId="20">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21">
    <w:name w:val="Title"/>
    <w:basedOn w:val="1"/>
    <w:next w:val="1"/>
    <w:link w:val="103"/>
    <w:qFormat/>
    <w:uiPriority w:val="10"/>
    <w:pPr>
      <w:spacing w:before="240" w:after="60"/>
      <w:jc w:val="center"/>
      <w:outlineLvl w:val="0"/>
    </w:pPr>
    <w:rPr>
      <w:rFonts w:ascii="Cambria" w:hAnsi="Cambria"/>
      <w:b/>
      <w:bCs/>
      <w:sz w:val="32"/>
      <w:szCs w:val="32"/>
    </w:rPr>
  </w:style>
  <w:style w:type="paragraph" w:styleId="22">
    <w:name w:val="annotation subject"/>
    <w:basedOn w:val="5"/>
    <w:next w:val="5"/>
    <w:link w:val="38"/>
    <w:semiHidden/>
    <w:unhideWhenUsed/>
    <w:qFormat/>
    <w:uiPriority w:val="99"/>
    <w:rPr>
      <w:b/>
      <w:bCs/>
    </w:rPr>
  </w:style>
  <w:style w:type="table" w:styleId="24">
    <w:name w:val="Table Grid"/>
    <w:basedOn w:val="23"/>
    <w:qFormat/>
    <w:uiPriority w:val="59"/>
    <w:rPr>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26">
    <w:name w:val="Strong"/>
    <w:basedOn w:val="25"/>
    <w:qFormat/>
    <w:uiPriority w:val="22"/>
    <w:rPr>
      <w:b/>
      <w:bCs/>
    </w:rPr>
  </w:style>
  <w:style w:type="character" w:styleId="27">
    <w:name w:val="page number"/>
    <w:basedOn w:val="25"/>
    <w:qFormat/>
    <w:uiPriority w:val="0"/>
  </w:style>
  <w:style w:type="character" w:styleId="28">
    <w:name w:val="FollowedHyperlink"/>
    <w:semiHidden/>
    <w:unhideWhenUsed/>
    <w:qFormat/>
    <w:uiPriority w:val="99"/>
    <w:rPr>
      <w:color w:val="800080"/>
      <w:u w:val="single"/>
    </w:rPr>
  </w:style>
  <w:style w:type="character" w:styleId="29">
    <w:name w:val="Hyperlink"/>
    <w:unhideWhenUsed/>
    <w:qFormat/>
    <w:uiPriority w:val="99"/>
    <w:rPr>
      <w:color w:val="0000FF"/>
      <w:u w:val="single"/>
    </w:rPr>
  </w:style>
  <w:style w:type="character" w:styleId="30">
    <w:name w:val="annotation reference"/>
    <w:unhideWhenUsed/>
    <w:qFormat/>
    <w:uiPriority w:val="99"/>
    <w:rPr>
      <w:sz w:val="21"/>
      <w:szCs w:val="21"/>
    </w:rPr>
  </w:style>
  <w:style w:type="character" w:customStyle="1" w:styleId="31">
    <w:name w:val="页眉 字符"/>
    <w:link w:val="14"/>
    <w:qFormat/>
    <w:uiPriority w:val="99"/>
    <w:rPr>
      <w:sz w:val="18"/>
      <w:szCs w:val="18"/>
    </w:rPr>
  </w:style>
  <w:style w:type="character" w:customStyle="1" w:styleId="32">
    <w:name w:val="页脚 字符"/>
    <w:link w:val="13"/>
    <w:autoRedefine/>
    <w:qFormat/>
    <w:uiPriority w:val="99"/>
    <w:rPr>
      <w:sz w:val="18"/>
      <w:szCs w:val="18"/>
    </w:rPr>
  </w:style>
  <w:style w:type="character" w:customStyle="1" w:styleId="33">
    <w:name w:val="标题 1 字符"/>
    <w:link w:val="2"/>
    <w:qFormat/>
    <w:uiPriority w:val="9"/>
    <w:rPr>
      <w:b/>
      <w:bCs/>
      <w:kern w:val="44"/>
      <w:sz w:val="44"/>
      <w:szCs w:val="44"/>
    </w:rPr>
  </w:style>
  <w:style w:type="character" w:customStyle="1" w:styleId="34">
    <w:name w:val="文档结构图 字符"/>
    <w:link w:val="4"/>
    <w:semiHidden/>
    <w:qFormat/>
    <w:uiPriority w:val="99"/>
    <w:rPr>
      <w:rFonts w:ascii="宋体"/>
      <w:kern w:val="2"/>
      <w:sz w:val="18"/>
      <w:szCs w:val="18"/>
    </w:rPr>
  </w:style>
  <w:style w:type="character" w:customStyle="1" w:styleId="35">
    <w:name w:val="正文文本缩进 字符"/>
    <w:link w:val="6"/>
    <w:autoRedefine/>
    <w:qFormat/>
    <w:uiPriority w:val="0"/>
    <w:rPr>
      <w:rFonts w:ascii="Times New Roman" w:hAnsi="Times New Roman"/>
      <w:kern w:val="2"/>
      <w:sz w:val="24"/>
    </w:rPr>
  </w:style>
  <w:style w:type="character" w:customStyle="1" w:styleId="36">
    <w:name w:val="批注框文本 字符"/>
    <w:link w:val="12"/>
    <w:semiHidden/>
    <w:qFormat/>
    <w:uiPriority w:val="99"/>
    <w:rPr>
      <w:kern w:val="2"/>
      <w:sz w:val="18"/>
      <w:szCs w:val="18"/>
    </w:rPr>
  </w:style>
  <w:style w:type="character" w:customStyle="1" w:styleId="37">
    <w:name w:val="批注文字 字符"/>
    <w:link w:val="5"/>
    <w:qFormat/>
    <w:uiPriority w:val="99"/>
    <w:rPr>
      <w:kern w:val="2"/>
      <w:sz w:val="21"/>
      <w:szCs w:val="22"/>
    </w:rPr>
  </w:style>
  <w:style w:type="character" w:customStyle="1" w:styleId="38">
    <w:name w:val="批注主题 字符"/>
    <w:link w:val="22"/>
    <w:semiHidden/>
    <w:qFormat/>
    <w:uiPriority w:val="99"/>
    <w:rPr>
      <w:b/>
      <w:bCs/>
      <w:kern w:val="2"/>
      <w:sz w:val="21"/>
      <w:szCs w:val="22"/>
    </w:rPr>
  </w:style>
  <w:style w:type="character" w:customStyle="1" w:styleId="39">
    <w:name w:val="日期 字符"/>
    <w:link w:val="11"/>
    <w:semiHidden/>
    <w:qFormat/>
    <w:uiPriority w:val="99"/>
    <w:rPr>
      <w:kern w:val="2"/>
      <w:sz w:val="21"/>
      <w:szCs w:val="22"/>
    </w:rPr>
  </w:style>
  <w:style w:type="paragraph" w:customStyle="1" w:styleId="40">
    <w:name w:val="列出段落1"/>
    <w:basedOn w:val="1"/>
    <w:qFormat/>
    <w:uiPriority w:val="0"/>
    <w:pPr>
      <w:ind w:firstLine="420" w:firstLineChars="200"/>
    </w:pPr>
  </w:style>
  <w:style w:type="paragraph" w:styleId="41">
    <w:name w:val="List Paragraph"/>
    <w:basedOn w:val="1"/>
    <w:qFormat/>
    <w:uiPriority w:val="34"/>
    <w:pPr>
      <w:ind w:firstLine="420" w:firstLineChars="200"/>
    </w:pPr>
  </w:style>
  <w:style w:type="paragraph" w:customStyle="1" w:styleId="42">
    <w:name w:val="font0"/>
    <w:basedOn w:val="1"/>
    <w:autoRedefine/>
    <w:qFormat/>
    <w:uiPriority w:val="0"/>
    <w:pPr>
      <w:widowControl/>
      <w:spacing w:before="100" w:beforeAutospacing="1" w:after="100" w:afterAutospacing="1"/>
      <w:jc w:val="left"/>
    </w:pPr>
    <w:rPr>
      <w:rFonts w:ascii="Arial" w:hAnsi="Arial" w:cs="Arial"/>
      <w:color w:val="000000"/>
      <w:kern w:val="0"/>
      <w:sz w:val="20"/>
      <w:szCs w:val="20"/>
    </w:rPr>
  </w:style>
  <w:style w:type="paragraph" w:customStyle="1" w:styleId="43">
    <w:name w:val="font5"/>
    <w:basedOn w:val="1"/>
    <w:autoRedefine/>
    <w:qFormat/>
    <w:uiPriority w:val="0"/>
    <w:pPr>
      <w:widowControl/>
      <w:spacing w:before="100" w:beforeAutospacing="1" w:after="100" w:afterAutospacing="1"/>
      <w:jc w:val="left"/>
    </w:pPr>
    <w:rPr>
      <w:rFonts w:ascii="Arial" w:hAnsi="Arial" w:cs="Arial"/>
      <w:b/>
      <w:bCs/>
      <w:color w:val="000000"/>
      <w:kern w:val="0"/>
      <w:sz w:val="20"/>
      <w:szCs w:val="20"/>
    </w:rPr>
  </w:style>
  <w:style w:type="paragraph" w:customStyle="1" w:styleId="44">
    <w:name w:val="font6"/>
    <w:basedOn w:val="1"/>
    <w:autoRedefine/>
    <w:qFormat/>
    <w:uiPriority w:val="0"/>
    <w:pPr>
      <w:widowControl/>
      <w:spacing w:before="100" w:beforeAutospacing="1" w:after="100" w:afterAutospacing="1"/>
      <w:jc w:val="left"/>
    </w:pPr>
    <w:rPr>
      <w:rFonts w:ascii="宋体" w:hAnsi="宋体" w:cs="宋体"/>
      <w:color w:val="000000"/>
      <w:kern w:val="0"/>
      <w:sz w:val="20"/>
      <w:szCs w:val="20"/>
    </w:rPr>
  </w:style>
  <w:style w:type="paragraph" w:customStyle="1" w:styleId="45">
    <w:name w:val="font7"/>
    <w:basedOn w:val="1"/>
    <w:autoRedefine/>
    <w:qFormat/>
    <w:uiPriority w:val="0"/>
    <w:pPr>
      <w:widowControl/>
      <w:spacing w:before="100" w:beforeAutospacing="1" w:after="100" w:afterAutospacing="1"/>
      <w:jc w:val="left"/>
    </w:pPr>
    <w:rPr>
      <w:rFonts w:ascii="宋体" w:hAnsi="宋体" w:cs="宋体"/>
      <w:kern w:val="0"/>
      <w:sz w:val="18"/>
      <w:szCs w:val="18"/>
    </w:rPr>
  </w:style>
  <w:style w:type="paragraph" w:customStyle="1" w:styleId="46">
    <w:name w:val="font8"/>
    <w:basedOn w:val="1"/>
    <w:autoRedefine/>
    <w:qFormat/>
    <w:uiPriority w:val="0"/>
    <w:pPr>
      <w:widowControl/>
      <w:spacing w:before="100" w:beforeAutospacing="1" w:after="100" w:afterAutospacing="1"/>
      <w:jc w:val="left"/>
    </w:pPr>
    <w:rPr>
      <w:rFonts w:ascii="宋体" w:hAnsi="宋体" w:cs="宋体"/>
      <w:kern w:val="0"/>
      <w:sz w:val="18"/>
      <w:szCs w:val="18"/>
    </w:rPr>
  </w:style>
  <w:style w:type="paragraph" w:customStyle="1" w:styleId="47">
    <w:name w:val="font9"/>
    <w:basedOn w:val="1"/>
    <w:autoRedefine/>
    <w:qFormat/>
    <w:uiPriority w:val="0"/>
    <w:pPr>
      <w:widowControl/>
      <w:spacing w:before="100" w:beforeAutospacing="1" w:after="100" w:afterAutospacing="1"/>
      <w:jc w:val="left"/>
    </w:pPr>
    <w:rPr>
      <w:rFonts w:ascii="宋体" w:hAnsi="宋体" w:cs="宋体"/>
      <w:kern w:val="0"/>
      <w:sz w:val="18"/>
      <w:szCs w:val="18"/>
    </w:rPr>
  </w:style>
  <w:style w:type="paragraph" w:customStyle="1" w:styleId="48">
    <w:name w:val="font10"/>
    <w:basedOn w:val="1"/>
    <w:autoRedefine/>
    <w:qFormat/>
    <w:uiPriority w:val="0"/>
    <w:pPr>
      <w:widowControl/>
      <w:spacing w:before="100" w:beforeAutospacing="1" w:after="100" w:afterAutospacing="1"/>
      <w:jc w:val="left"/>
    </w:pPr>
    <w:rPr>
      <w:rFonts w:ascii="宋体" w:hAnsi="宋体" w:cs="宋体"/>
      <w:b/>
      <w:bCs/>
      <w:color w:val="000000"/>
      <w:kern w:val="0"/>
      <w:sz w:val="20"/>
      <w:szCs w:val="20"/>
    </w:rPr>
  </w:style>
  <w:style w:type="paragraph" w:customStyle="1" w:styleId="49">
    <w:name w:val="font11"/>
    <w:basedOn w:val="1"/>
    <w:qFormat/>
    <w:uiPriority w:val="0"/>
    <w:pPr>
      <w:widowControl/>
      <w:spacing w:before="100" w:beforeAutospacing="1" w:after="100" w:afterAutospacing="1"/>
      <w:jc w:val="left"/>
    </w:pPr>
    <w:rPr>
      <w:rFonts w:ascii="Tahoma" w:hAnsi="Tahoma" w:cs="Tahoma"/>
      <w:color w:val="000000"/>
      <w:kern w:val="0"/>
      <w:sz w:val="18"/>
      <w:szCs w:val="18"/>
    </w:rPr>
  </w:style>
  <w:style w:type="paragraph" w:customStyle="1" w:styleId="50">
    <w:name w:val="font12"/>
    <w:basedOn w:val="1"/>
    <w:autoRedefine/>
    <w:qFormat/>
    <w:uiPriority w:val="0"/>
    <w:pPr>
      <w:widowControl/>
      <w:spacing w:before="100" w:beforeAutospacing="1" w:after="100" w:afterAutospacing="1"/>
      <w:jc w:val="left"/>
    </w:pPr>
    <w:rPr>
      <w:rFonts w:ascii="Tahoma" w:hAnsi="Tahoma" w:cs="Tahoma"/>
      <w:b/>
      <w:bCs/>
      <w:color w:val="000000"/>
      <w:kern w:val="0"/>
      <w:sz w:val="18"/>
      <w:szCs w:val="18"/>
    </w:rPr>
  </w:style>
  <w:style w:type="paragraph" w:customStyle="1" w:styleId="51">
    <w:name w:val="font13"/>
    <w:basedOn w:val="1"/>
    <w:qFormat/>
    <w:uiPriority w:val="0"/>
    <w:pPr>
      <w:widowControl/>
      <w:spacing w:before="100" w:beforeAutospacing="1" w:after="100" w:afterAutospacing="1"/>
      <w:jc w:val="left"/>
    </w:pPr>
    <w:rPr>
      <w:rFonts w:ascii="宋体" w:hAnsi="宋体" w:cs="宋体"/>
      <w:b/>
      <w:bCs/>
      <w:color w:val="000000"/>
      <w:kern w:val="0"/>
      <w:sz w:val="18"/>
      <w:szCs w:val="18"/>
    </w:rPr>
  </w:style>
  <w:style w:type="paragraph" w:customStyle="1" w:styleId="52">
    <w:name w:val="font14"/>
    <w:basedOn w:val="1"/>
    <w:autoRedefine/>
    <w:qFormat/>
    <w:uiPriority w:val="0"/>
    <w:pPr>
      <w:widowControl/>
      <w:spacing w:before="100" w:beforeAutospacing="1" w:after="100" w:afterAutospacing="1"/>
      <w:jc w:val="left"/>
    </w:pPr>
    <w:rPr>
      <w:rFonts w:ascii="宋体" w:hAnsi="宋体" w:cs="宋体"/>
      <w:color w:val="000000"/>
      <w:kern w:val="0"/>
      <w:sz w:val="18"/>
      <w:szCs w:val="18"/>
    </w:rPr>
  </w:style>
  <w:style w:type="paragraph" w:customStyle="1" w:styleId="53">
    <w:name w:val="xl67"/>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szCs w:val="24"/>
    </w:rPr>
  </w:style>
  <w:style w:type="paragraph" w:customStyle="1" w:styleId="54">
    <w:name w:val="xl68"/>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cs="宋体"/>
      <w:kern w:val="0"/>
      <w:sz w:val="24"/>
      <w:szCs w:val="24"/>
    </w:rPr>
  </w:style>
  <w:style w:type="paragraph" w:customStyle="1" w:styleId="55">
    <w:name w:val="xl69"/>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pPr>
    <w:rPr>
      <w:rFonts w:ascii="宋体" w:hAnsi="宋体" w:cs="宋体"/>
      <w:kern w:val="0"/>
      <w:sz w:val="24"/>
      <w:szCs w:val="24"/>
    </w:rPr>
  </w:style>
  <w:style w:type="paragraph" w:customStyle="1" w:styleId="56">
    <w:name w:val="xl70"/>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b/>
      <w:bCs/>
      <w:kern w:val="0"/>
      <w:sz w:val="24"/>
      <w:szCs w:val="24"/>
    </w:rPr>
  </w:style>
  <w:style w:type="paragraph" w:customStyle="1" w:styleId="57">
    <w:name w:val="xl71"/>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textAlignment w:val="center"/>
    </w:pPr>
    <w:rPr>
      <w:rFonts w:ascii="宋体" w:hAnsi="宋体" w:cs="宋体"/>
      <w:b/>
      <w:bCs/>
      <w:kern w:val="0"/>
      <w:sz w:val="24"/>
      <w:szCs w:val="24"/>
    </w:rPr>
  </w:style>
  <w:style w:type="paragraph" w:customStyle="1" w:styleId="58">
    <w:name w:val="xl72"/>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cs="宋体"/>
      <w:kern w:val="0"/>
      <w:sz w:val="24"/>
      <w:szCs w:val="24"/>
    </w:rPr>
  </w:style>
  <w:style w:type="paragraph" w:customStyle="1" w:styleId="59">
    <w:name w:val="xl73"/>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pPr>
    <w:rPr>
      <w:rFonts w:ascii="宋体" w:hAnsi="宋体" w:cs="宋体"/>
      <w:kern w:val="0"/>
      <w:sz w:val="24"/>
      <w:szCs w:val="24"/>
    </w:rPr>
  </w:style>
  <w:style w:type="paragraph" w:customStyle="1" w:styleId="60">
    <w:name w:val="xl74"/>
    <w:basedOn w:val="1"/>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right"/>
    </w:pPr>
    <w:rPr>
      <w:rFonts w:ascii="宋体" w:hAnsi="宋体" w:cs="宋体"/>
      <w:kern w:val="0"/>
      <w:sz w:val="24"/>
      <w:szCs w:val="24"/>
    </w:rPr>
  </w:style>
  <w:style w:type="paragraph" w:customStyle="1" w:styleId="61">
    <w:name w:val="xl75"/>
    <w:basedOn w:val="1"/>
    <w:autoRedefine/>
    <w:qFormat/>
    <w:uiPriority w:val="0"/>
    <w:pPr>
      <w:widowControl/>
      <w:spacing w:before="100" w:beforeAutospacing="1" w:after="100" w:afterAutospacing="1"/>
      <w:jc w:val="right"/>
    </w:pPr>
    <w:rPr>
      <w:rFonts w:ascii="宋体" w:hAnsi="宋体" w:cs="宋体"/>
      <w:kern w:val="0"/>
      <w:sz w:val="24"/>
      <w:szCs w:val="24"/>
    </w:rPr>
  </w:style>
  <w:style w:type="paragraph" w:customStyle="1" w:styleId="62">
    <w:name w:val="xl76"/>
    <w:basedOn w:val="1"/>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cs="宋体"/>
      <w:kern w:val="0"/>
      <w:sz w:val="24"/>
      <w:szCs w:val="24"/>
    </w:rPr>
  </w:style>
  <w:style w:type="paragraph" w:customStyle="1" w:styleId="63">
    <w:name w:val="xl77"/>
    <w:basedOn w:val="1"/>
    <w:autoRedefine/>
    <w:qFormat/>
    <w:uiPriority w:val="0"/>
    <w:pPr>
      <w:widowControl/>
      <w:pBdr>
        <w:left w:val="single" w:color="auto" w:sz="4" w:space="0"/>
        <w:right w:val="single" w:color="auto" w:sz="4" w:space="0"/>
      </w:pBdr>
      <w:spacing w:before="100" w:beforeAutospacing="1" w:after="100" w:afterAutospacing="1"/>
      <w:jc w:val="center"/>
      <w:textAlignment w:val="center"/>
    </w:pPr>
    <w:rPr>
      <w:rFonts w:ascii="宋体" w:hAnsi="宋体" w:cs="宋体"/>
      <w:kern w:val="0"/>
      <w:sz w:val="24"/>
      <w:szCs w:val="24"/>
    </w:rPr>
  </w:style>
  <w:style w:type="paragraph" w:customStyle="1" w:styleId="64">
    <w:name w:val="xl78"/>
    <w:basedOn w:val="1"/>
    <w:autoRedefine/>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kern w:val="0"/>
      <w:sz w:val="24"/>
      <w:szCs w:val="24"/>
    </w:rPr>
  </w:style>
  <w:style w:type="paragraph" w:customStyle="1" w:styleId="65">
    <w:name w:val="xl79"/>
    <w:basedOn w:val="1"/>
    <w:autoRedefine/>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cs="宋体"/>
      <w:kern w:val="0"/>
      <w:sz w:val="24"/>
      <w:szCs w:val="24"/>
    </w:rPr>
  </w:style>
  <w:style w:type="paragraph" w:customStyle="1" w:styleId="66">
    <w:name w:val="xl80"/>
    <w:basedOn w:val="1"/>
    <w:autoRedefine/>
    <w:qFormat/>
    <w:uiPriority w:val="0"/>
    <w:pPr>
      <w:widowControl/>
      <w:pBdr>
        <w:left w:val="single" w:color="auto" w:sz="4" w:space="0"/>
        <w:right w:val="single" w:color="auto" w:sz="4" w:space="0"/>
      </w:pBdr>
      <w:spacing w:before="100" w:beforeAutospacing="1" w:after="100" w:afterAutospacing="1"/>
      <w:jc w:val="center"/>
      <w:textAlignment w:val="center"/>
    </w:pPr>
    <w:rPr>
      <w:rFonts w:ascii="宋体" w:hAnsi="宋体" w:cs="宋体"/>
      <w:kern w:val="0"/>
      <w:sz w:val="24"/>
      <w:szCs w:val="24"/>
    </w:rPr>
  </w:style>
  <w:style w:type="paragraph" w:customStyle="1" w:styleId="67">
    <w:name w:val="xl81"/>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kern w:val="0"/>
      <w:sz w:val="24"/>
      <w:szCs w:val="24"/>
    </w:rPr>
  </w:style>
  <w:style w:type="paragraph" w:customStyle="1" w:styleId="68">
    <w:name w:val="xl82"/>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b/>
      <w:bCs/>
      <w:kern w:val="0"/>
      <w:sz w:val="24"/>
      <w:szCs w:val="24"/>
    </w:rPr>
  </w:style>
  <w:style w:type="paragraph" w:customStyle="1" w:styleId="69">
    <w:name w:val="xl83"/>
    <w:basedOn w:val="1"/>
    <w:qFormat/>
    <w:uiPriority w:val="0"/>
    <w:pPr>
      <w:widowControl/>
      <w:pBdr>
        <w:top w:val="single" w:color="auto" w:sz="4" w:space="0"/>
        <w:left w:val="single" w:color="auto" w:sz="4" w:space="0"/>
        <w:bottom w:val="single" w:color="auto" w:sz="4" w:space="0"/>
      </w:pBdr>
      <w:spacing w:before="100" w:beforeAutospacing="1" w:after="100" w:afterAutospacing="1"/>
      <w:jc w:val="center"/>
      <w:textAlignment w:val="center"/>
    </w:pPr>
    <w:rPr>
      <w:rFonts w:ascii="宋体" w:hAnsi="宋体" w:cs="宋体"/>
      <w:b/>
      <w:bCs/>
      <w:kern w:val="0"/>
      <w:sz w:val="24"/>
      <w:szCs w:val="24"/>
    </w:rPr>
  </w:style>
  <w:style w:type="paragraph" w:customStyle="1" w:styleId="70">
    <w:name w:val="xl84"/>
    <w:basedOn w:val="1"/>
    <w:qFormat/>
    <w:uiPriority w:val="0"/>
    <w:pPr>
      <w:widowControl/>
      <w:pBdr>
        <w:top w:val="single" w:color="auto" w:sz="4" w:space="0"/>
        <w:bottom w:val="single" w:color="auto" w:sz="4" w:space="0"/>
      </w:pBdr>
      <w:spacing w:before="100" w:beforeAutospacing="1" w:after="100" w:afterAutospacing="1"/>
      <w:jc w:val="center"/>
      <w:textAlignment w:val="center"/>
    </w:pPr>
    <w:rPr>
      <w:rFonts w:ascii="宋体" w:hAnsi="宋体" w:cs="宋体"/>
      <w:b/>
      <w:bCs/>
      <w:kern w:val="0"/>
      <w:sz w:val="24"/>
      <w:szCs w:val="24"/>
    </w:rPr>
  </w:style>
  <w:style w:type="paragraph" w:customStyle="1" w:styleId="71">
    <w:name w:val="xl85"/>
    <w:basedOn w:val="1"/>
    <w:qFormat/>
    <w:uiPriority w:val="0"/>
    <w:pPr>
      <w:widowControl/>
      <w:pBdr>
        <w:top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b/>
      <w:bCs/>
      <w:kern w:val="0"/>
      <w:sz w:val="24"/>
      <w:szCs w:val="24"/>
    </w:rPr>
  </w:style>
  <w:style w:type="paragraph" w:customStyle="1" w:styleId="72">
    <w:name w:val="xl86"/>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b/>
      <w:bCs/>
      <w:kern w:val="0"/>
      <w:sz w:val="24"/>
      <w:szCs w:val="24"/>
    </w:rPr>
  </w:style>
  <w:style w:type="paragraph" w:customStyle="1" w:styleId="73">
    <w:name w:val="xl87"/>
    <w:basedOn w:val="1"/>
    <w:autoRedefine/>
    <w:qFormat/>
    <w:uiPriority w:val="0"/>
    <w:pPr>
      <w:widowControl/>
      <w:pBdr>
        <w:top w:val="single" w:color="auto" w:sz="4" w:space="0"/>
        <w:left w:val="single" w:color="auto" w:sz="4" w:space="0"/>
        <w:right w:val="single" w:color="auto" w:sz="4" w:space="0"/>
      </w:pBdr>
      <w:spacing w:before="100" w:beforeAutospacing="1" w:after="100" w:afterAutospacing="1"/>
      <w:jc w:val="center"/>
      <w:textAlignment w:val="center"/>
    </w:pPr>
    <w:rPr>
      <w:rFonts w:ascii="宋体" w:hAnsi="宋体" w:cs="宋体"/>
      <w:b/>
      <w:bCs/>
      <w:kern w:val="0"/>
      <w:sz w:val="24"/>
      <w:szCs w:val="24"/>
    </w:rPr>
  </w:style>
  <w:style w:type="paragraph" w:customStyle="1" w:styleId="74">
    <w:name w:val="xl88"/>
    <w:basedOn w:val="1"/>
    <w:qFormat/>
    <w:uiPriority w:val="0"/>
    <w:pPr>
      <w:widowControl/>
      <w:pBdr>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b/>
      <w:bCs/>
      <w:kern w:val="0"/>
      <w:sz w:val="24"/>
      <w:szCs w:val="24"/>
    </w:rPr>
  </w:style>
  <w:style w:type="paragraph" w:customStyle="1" w:styleId="75">
    <w:name w:val="xl89"/>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center"/>
      <w:textAlignment w:val="center"/>
    </w:pPr>
    <w:rPr>
      <w:rFonts w:ascii="宋体" w:hAnsi="宋体" w:cs="宋体"/>
      <w:color w:val="000000"/>
      <w:kern w:val="0"/>
      <w:sz w:val="18"/>
      <w:szCs w:val="18"/>
    </w:rPr>
  </w:style>
  <w:style w:type="paragraph" w:customStyle="1" w:styleId="76">
    <w:name w:val="xl90"/>
    <w:basedOn w:val="1"/>
    <w:autoRedefine/>
    <w:qFormat/>
    <w:uiPriority w:val="0"/>
    <w:pPr>
      <w:widowControl/>
      <w:pBdr>
        <w:top w:val="single" w:color="auto" w:sz="4" w:space="0"/>
        <w:left w:val="single" w:color="auto" w:sz="4" w:space="0"/>
        <w:bottom w:val="single" w:color="auto" w:sz="4" w:space="0"/>
        <w:right w:val="single" w:color="auto" w:sz="4" w:space="0"/>
      </w:pBdr>
      <w:spacing w:before="100" w:beforeAutospacing="1" w:after="100" w:afterAutospacing="1"/>
      <w:jc w:val="left"/>
      <w:textAlignment w:val="center"/>
    </w:pPr>
    <w:rPr>
      <w:rFonts w:ascii="宋体" w:hAnsi="宋体" w:cs="宋体"/>
      <w:color w:val="000000"/>
      <w:kern w:val="0"/>
      <w:sz w:val="18"/>
      <w:szCs w:val="18"/>
    </w:rPr>
  </w:style>
  <w:style w:type="paragraph" w:customStyle="1" w:styleId="77">
    <w:name w:val="xl91"/>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pPr>
    <w:rPr>
      <w:rFonts w:ascii="微软雅黑" w:hAnsi="微软雅黑" w:eastAsia="微软雅黑" w:cs="宋体"/>
      <w:kern w:val="0"/>
      <w:sz w:val="24"/>
      <w:szCs w:val="24"/>
    </w:rPr>
  </w:style>
  <w:style w:type="paragraph" w:customStyle="1" w:styleId="78">
    <w:name w:val="xl92"/>
    <w:basedOn w:val="1"/>
    <w:autoRedefine/>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pPr>
    <w:rPr>
      <w:rFonts w:ascii="微软雅黑" w:hAnsi="微软雅黑" w:eastAsia="微软雅黑" w:cs="宋体"/>
      <w:kern w:val="0"/>
      <w:sz w:val="24"/>
      <w:szCs w:val="24"/>
    </w:rPr>
  </w:style>
  <w:style w:type="paragraph" w:customStyle="1" w:styleId="79">
    <w:name w:val="xl93"/>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pPr>
    <w:rPr>
      <w:rFonts w:ascii="微软雅黑" w:hAnsi="微软雅黑" w:eastAsia="微软雅黑" w:cs="宋体"/>
      <w:kern w:val="0"/>
      <w:sz w:val="24"/>
      <w:szCs w:val="24"/>
    </w:rPr>
  </w:style>
  <w:style w:type="paragraph" w:customStyle="1" w:styleId="80">
    <w:name w:val="xl94"/>
    <w:basedOn w:val="1"/>
    <w:autoRedefine/>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left"/>
      <w:textAlignment w:val="center"/>
    </w:pPr>
    <w:rPr>
      <w:rFonts w:ascii="微软雅黑" w:hAnsi="微软雅黑" w:eastAsia="微软雅黑" w:cs="宋体"/>
      <w:color w:val="000000"/>
      <w:kern w:val="0"/>
      <w:sz w:val="24"/>
      <w:szCs w:val="24"/>
    </w:rPr>
  </w:style>
  <w:style w:type="paragraph" w:customStyle="1" w:styleId="81">
    <w:name w:val="xl95"/>
    <w:basedOn w:val="1"/>
    <w:autoRedefine/>
    <w:qFormat/>
    <w:uiPriority w:val="0"/>
    <w:pPr>
      <w:widowControl/>
      <w:shd w:val="clear" w:color="000000" w:fill="FFFFFF"/>
      <w:spacing w:before="100" w:beforeAutospacing="1" w:after="100" w:afterAutospacing="1"/>
      <w:jc w:val="center"/>
      <w:textAlignment w:val="center"/>
    </w:pPr>
    <w:rPr>
      <w:rFonts w:ascii="微软雅黑" w:hAnsi="微软雅黑" w:eastAsia="微软雅黑" w:cs="宋体"/>
      <w:color w:val="000000"/>
      <w:kern w:val="0"/>
      <w:sz w:val="24"/>
      <w:szCs w:val="24"/>
    </w:rPr>
  </w:style>
  <w:style w:type="paragraph" w:customStyle="1" w:styleId="82">
    <w:name w:val="xl96"/>
    <w:basedOn w:val="1"/>
    <w:qFormat/>
    <w:uiPriority w:val="0"/>
    <w:pPr>
      <w:widowControl/>
      <w:shd w:val="clear" w:color="000000" w:fill="FFFFFF"/>
      <w:spacing w:before="100" w:beforeAutospacing="1" w:after="100" w:afterAutospacing="1"/>
      <w:jc w:val="left"/>
      <w:textAlignment w:val="center"/>
    </w:pPr>
    <w:rPr>
      <w:rFonts w:ascii="微软雅黑" w:hAnsi="微软雅黑" w:eastAsia="微软雅黑" w:cs="宋体"/>
      <w:color w:val="000000"/>
      <w:kern w:val="0"/>
      <w:sz w:val="24"/>
      <w:szCs w:val="24"/>
    </w:rPr>
  </w:style>
  <w:style w:type="paragraph" w:customStyle="1" w:styleId="83">
    <w:name w:val="xl97"/>
    <w:basedOn w:val="1"/>
    <w:qFormat/>
    <w:uiPriority w:val="0"/>
    <w:pPr>
      <w:widowControl/>
      <w:pBdr>
        <w:top w:val="single" w:color="auto" w:sz="4" w:space="0"/>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宋体" w:hAnsi="宋体" w:cs="宋体"/>
      <w:b/>
      <w:bCs/>
      <w:color w:val="000000"/>
      <w:kern w:val="0"/>
      <w:sz w:val="24"/>
      <w:szCs w:val="24"/>
    </w:rPr>
  </w:style>
  <w:style w:type="paragraph" w:customStyle="1" w:styleId="84">
    <w:name w:val="xl98"/>
    <w:basedOn w:val="1"/>
    <w:qFormat/>
    <w:uiPriority w:val="0"/>
    <w:pPr>
      <w:widowControl/>
      <w:pBdr>
        <w:top w:val="single" w:color="auto" w:sz="4" w:space="0"/>
      </w:pBdr>
      <w:shd w:val="clear" w:color="000000" w:fill="FFFFFF"/>
      <w:spacing w:before="100" w:beforeAutospacing="1" w:after="100" w:afterAutospacing="1"/>
      <w:jc w:val="left"/>
      <w:textAlignment w:val="top"/>
    </w:pPr>
    <w:rPr>
      <w:rFonts w:ascii="宋体" w:hAnsi="宋体" w:cs="宋体"/>
      <w:b/>
      <w:bCs/>
      <w:color w:val="000000"/>
      <w:kern w:val="0"/>
      <w:sz w:val="24"/>
      <w:szCs w:val="24"/>
    </w:rPr>
  </w:style>
  <w:style w:type="paragraph" w:customStyle="1" w:styleId="85">
    <w:name w:val="xl99"/>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center"/>
      <w:textAlignment w:val="center"/>
    </w:pPr>
    <w:rPr>
      <w:rFonts w:ascii="微软雅黑" w:hAnsi="微软雅黑" w:eastAsia="微软雅黑" w:cs="宋体"/>
      <w:b/>
      <w:bCs/>
      <w:kern w:val="0"/>
      <w:sz w:val="24"/>
      <w:szCs w:val="24"/>
    </w:rPr>
  </w:style>
  <w:style w:type="paragraph" w:customStyle="1" w:styleId="86">
    <w:name w:val="xl100"/>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微软雅黑" w:hAnsi="微软雅黑" w:eastAsia="微软雅黑" w:cs="宋体"/>
      <w:b/>
      <w:bCs/>
      <w:kern w:val="0"/>
      <w:sz w:val="24"/>
      <w:szCs w:val="24"/>
    </w:rPr>
  </w:style>
  <w:style w:type="paragraph" w:customStyle="1" w:styleId="87">
    <w:name w:val="xl101"/>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center"/>
      <w:textAlignment w:val="center"/>
    </w:pPr>
    <w:rPr>
      <w:rFonts w:ascii="微软雅黑" w:hAnsi="微软雅黑" w:eastAsia="微软雅黑" w:cs="宋体"/>
      <w:b/>
      <w:bCs/>
      <w:color w:val="000000"/>
      <w:kern w:val="0"/>
      <w:sz w:val="24"/>
      <w:szCs w:val="24"/>
    </w:rPr>
  </w:style>
  <w:style w:type="paragraph" w:customStyle="1" w:styleId="88">
    <w:name w:val="xl102"/>
    <w:basedOn w:val="1"/>
    <w:autoRedefine/>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微软雅黑" w:hAnsi="微软雅黑" w:eastAsia="微软雅黑" w:cs="宋体"/>
      <w:b/>
      <w:bCs/>
      <w:color w:val="000000"/>
      <w:kern w:val="0"/>
      <w:sz w:val="24"/>
      <w:szCs w:val="24"/>
    </w:rPr>
  </w:style>
  <w:style w:type="paragraph" w:customStyle="1" w:styleId="89">
    <w:name w:val="xl103"/>
    <w:basedOn w:val="1"/>
    <w:autoRedefine/>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center"/>
      <w:textAlignment w:val="center"/>
    </w:pPr>
    <w:rPr>
      <w:rFonts w:ascii="微软雅黑" w:hAnsi="微软雅黑" w:eastAsia="微软雅黑" w:cs="宋体"/>
      <w:b/>
      <w:bCs/>
      <w:color w:val="000000"/>
      <w:kern w:val="0"/>
      <w:sz w:val="24"/>
      <w:szCs w:val="24"/>
    </w:rPr>
  </w:style>
  <w:style w:type="paragraph" w:customStyle="1" w:styleId="90">
    <w:name w:val="xl104"/>
    <w:basedOn w:val="1"/>
    <w:autoRedefine/>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微软雅黑" w:hAnsi="微软雅黑" w:eastAsia="微软雅黑" w:cs="宋体"/>
      <w:b/>
      <w:bCs/>
      <w:color w:val="000000"/>
      <w:kern w:val="0"/>
      <w:sz w:val="24"/>
      <w:szCs w:val="24"/>
    </w:rPr>
  </w:style>
  <w:style w:type="paragraph" w:customStyle="1" w:styleId="91">
    <w:name w:val="xl105"/>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center"/>
      <w:textAlignment w:val="center"/>
    </w:pPr>
    <w:rPr>
      <w:rFonts w:ascii="微软雅黑" w:hAnsi="微软雅黑" w:eastAsia="微软雅黑" w:cs="宋体"/>
      <w:b/>
      <w:bCs/>
      <w:color w:val="000000"/>
      <w:kern w:val="0"/>
      <w:sz w:val="24"/>
      <w:szCs w:val="24"/>
    </w:rPr>
  </w:style>
  <w:style w:type="paragraph" w:customStyle="1" w:styleId="92">
    <w:name w:val="xl106"/>
    <w:basedOn w:val="1"/>
    <w:autoRedefine/>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微软雅黑" w:hAnsi="微软雅黑" w:eastAsia="微软雅黑" w:cs="宋体"/>
      <w:b/>
      <w:bCs/>
      <w:color w:val="000000"/>
      <w:kern w:val="0"/>
      <w:sz w:val="24"/>
      <w:szCs w:val="24"/>
    </w:rPr>
  </w:style>
  <w:style w:type="paragraph" w:customStyle="1" w:styleId="93">
    <w:name w:val="xl107"/>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center"/>
      <w:textAlignment w:val="center"/>
    </w:pPr>
    <w:rPr>
      <w:rFonts w:ascii="微软雅黑" w:hAnsi="微软雅黑" w:eastAsia="微软雅黑" w:cs="宋体"/>
      <w:b/>
      <w:bCs/>
      <w:color w:val="000000"/>
      <w:kern w:val="0"/>
      <w:sz w:val="24"/>
      <w:szCs w:val="24"/>
    </w:rPr>
  </w:style>
  <w:style w:type="paragraph" w:customStyle="1" w:styleId="94">
    <w:name w:val="xl108"/>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微软雅黑" w:hAnsi="微软雅黑" w:eastAsia="微软雅黑" w:cs="宋体"/>
      <w:b/>
      <w:bCs/>
      <w:color w:val="000000"/>
      <w:kern w:val="0"/>
      <w:sz w:val="24"/>
      <w:szCs w:val="24"/>
    </w:rPr>
  </w:style>
  <w:style w:type="paragraph" w:customStyle="1" w:styleId="95">
    <w:name w:val="xl109"/>
    <w:basedOn w:val="1"/>
    <w:autoRedefine/>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center"/>
      <w:textAlignment w:val="center"/>
    </w:pPr>
    <w:rPr>
      <w:rFonts w:ascii="微软雅黑" w:hAnsi="微软雅黑" w:eastAsia="微软雅黑" w:cs="宋体"/>
      <w:color w:val="000000"/>
      <w:kern w:val="0"/>
      <w:sz w:val="24"/>
      <w:szCs w:val="24"/>
    </w:rPr>
  </w:style>
  <w:style w:type="paragraph" w:customStyle="1" w:styleId="96">
    <w:name w:val="xl110"/>
    <w:basedOn w:val="1"/>
    <w:qFormat/>
    <w:uiPriority w:val="0"/>
    <w:pPr>
      <w:widowControl/>
      <w:pBdr>
        <w:left w:val="single" w:color="auto" w:sz="4" w:space="0"/>
        <w:right w:val="single" w:color="auto" w:sz="4" w:space="0"/>
      </w:pBdr>
      <w:shd w:val="clear" w:color="000000" w:fill="FFFFFF"/>
      <w:spacing w:before="100" w:beforeAutospacing="1" w:after="100" w:afterAutospacing="1"/>
      <w:jc w:val="center"/>
      <w:textAlignment w:val="center"/>
    </w:pPr>
    <w:rPr>
      <w:rFonts w:ascii="微软雅黑" w:hAnsi="微软雅黑" w:eastAsia="微软雅黑" w:cs="宋体"/>
      <w:color w:val="000000"/>
      <w:kern w:val="0"/>
      <w:sz w:val="24"/>
      <w:szCs w:val="24"/>
    </w:rPr>
  </w:style>
  <w:style w:type="paragraph" w:customStyle="1" w:styleId="97">
    <w:name w:val="xl111"/>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微软雅黑" w:hAnsi="微软雅黑" w:eastAsia="微软雅黑" w:cs="宋体"/>
      <w:color w:val="000000"/>
      <w:kern w:val="0"/>
      <w:sz w:val="24"/>
      <w:szCs w:val="24"/>
    </w:rPr>
  </w:style>
  <w:style w:type="paragraph" w:customStyle="1" w:styleId="98">
    <w:name w:val="xl112"/>
    <w:basedOn w:val="1"/>
    <w:qFormat/>
    <w:uiPriority w:val="0"/>
    <w:pPr>
      <w:widowControl/>
      <w:pBdr>
        <w:top w:val="single" w:color="auto" w:sz="4" w:space="0"/>
        <w:left w:val="single" w:color="auto" w:sz="4" w:space="0"/>
        <w:right w:val="single" w:color="auto" w:sz="4" w:space="0"/>
      </w:pBdr>
      <w:shd w:val="clear" w:color="000000" w:fill="FFFFFF"/>
      <w:spacing w:before="100" w:beforeAutospacing="1" w:after="100" w:afterAutospacing="1"/>
      <w:jc w:val="center"/>
      <w:textAlignment w:val="center"/>
    </w:pPr>
    <w:rPr>
      <w:rFonts w:ascii="微软雅黑" w:hAnsi="微软雅黑" w:eastAsia="微软雅黑" w:cs="宋体"/>
      <w:color w:val="000000"/>
      <w:kern w:val="0"/>
      <w:sz w:val="24"/>
      <w:szCs w:val="24"/>
    </w:rPr>
  </w:style>
  <w:style w:type="paragraph" w:customStyle="1" w:styleId="99">
    <w:name w:val="xl113"/>
    <w:basedOn w:val="1"/>
    <w:qFormat/>
    <w:uiPriority w:val="0"/>
    <w:pPr>
      <w:widowControl/>
      <w:pBdr>
        <w:left w:val="single" w:color="auto" w:sz="4" w:space="0"/>
        <w:right w:val="single" w:color="auto" w:sz="4" w:space="0"/>
      </w:pBdr>
      <w:shd w:val="clear" w:color="000000" w:fill="FFFFFF"/>
      <w:spacing w:before="100" w:beforeAutospacing="1" w:after="100" w:afterAutospacing="1"/>
      <w:jc w:val="center"/>
      <w:textAlignment w:val="center"/>
    </w:pPr>
    <w:rPr>
      <w:rFonts w:ascii="微软雅黑" w:hAnsi="微软雅黑" w:eastAsia="微软雅黑" w:cs="宋体"/>
      <w:color w:val="000000"/>
      <w:kern w:val="0"/>
      <w:sz w:val="24"/>
      <w:szCs w:val="24"/>
    </w:rPr>
  </w:style>
  <w:style w:type="paragraph" w:customStyle="1" w:styleId="100">
    <w:name w:val="xl114"/>
    <w:basedOn w:val="1"/>
    <w:qFormat/>
    <w:uiPriority w:val="0"/>
    <w:pPr>
      <w:widowControl/>
      <w:pBdr>
        <w:left w:val="single" w:color="auto" w:sz="4" w:space="0"/>
        <w:bottom w:val="single" w:color="auto" w:sz="4" w:space="0"/>
        <w:right w:val="single" w:color="auto" w:sz="4" w:space="0"/>
      </w:pBdr>
      <w:shd w:val="clear" w:color="000000" w:fill="FFFFFF"/>
      <w:spacing w:before="100" w:beforeAutospacing="1" w:after="100" w:afterAutospacing="1"/>
      <w:jc w:val="center"/>
      <w:textAlignment w:val="center"/>
    </w:pPr>
    <w:rPr>
      <w:rFonts w:ascii="微软雅黑" w:hAnsi="微软雅黑" w:eastAsia="微软雅黑" w:cs="宋体"/>
      <w:color w:val="000000"/>
      <w:kern w:val="0"/>
      <w:sz w:val="24"/>
      <w:szCs w:val="24"/>
    </w:rPr>
  </w:style>
  <w:style w:type="paragraph" w:customStyle="1" w:styleId="101">
    <w:name w:val="Default"/>
    <w:autoRedefine/>
    <w:qFormat/>
    <w:uiPriority w:val="0"/>
    <w:pPr>
      <w:widowControl w:val="0"/>
      <w:autoSpaceDE w:val="0"/>
      <w:autoSpaceDN w:val="0"/>
      <w:adjustRightInd w:val="0"/>
    </w:pPr>
    <w:rPr>
      <w:rFonts w:ascii="微软雅黑" w:hAnsi="Calibri" w:eastAsia="微软雅黑" w:cs="微软雅黑"/>
      <w:color w:val="000000"/>
      <w:sz w:val="24"/>
      <w:szCs w:val="24"/>
      <w:lang w:val="en-US" w:eastAsia="zh-CN" w:bidi="ar-SA"/>
    </w:rPr>
  </w:style>
  <w:style w:type="paragraph" w:customStyle="1" w:styleId="102">
    <w:name w:val="修订1"/>
    <w:hidden/>
    <w:semiHidden/>
    <w:qFormat/>
    <w:uiPriority w:val="99"/>
    <w:rPr>
      <w:rFonts w:ascii="Calibri" w:hAnsi="Calibri" w:eastAsia="宋体" w:cs="Times New Roman"/>
      <w:kern w:val="2"/>
      <w:sz w:val="21"/>
      <w:szCs w:val="22"/>
      <w:lang w:val="en-US" w:eastAsia="zh-CN" w:bidi="ar-SA"/>
    </w:rPr>
  </w:style>
  <w:style w:type="character" w:customStyle="1" w:styleId="103">
    <w:name w:val="标题 字符"/>
    <w:basedOn w:val="25"/>
    <w:link w:val="21"/>
    <w:qFormat/>
    <w:uiPriority w:val="10"/>
    <w:rPr>
      <w:rFonts w:ascii="Cambria" w:hAnsi="Cambria"/>
      <w:b/>
      <w:bCs/>
      <w:kern w:val="2"/>
      <w:sz w:val="32"/>
      <w:szCs w:val="32"/>
    </w:rPr>
  </w:style>
  <w:style w:type="paragraph" w:styleId="104">
    <w:name w:val="No Spacing"/>
    <w:qFormat/>
    <w:uiPriority w:val="1"/>
    <w:pPr>
      <w:widowControl w:val="0"/>
      <w:jc w:val="both"/>
    </w:pPr>
    <w:rPr>
      <w:rFonts w:ascii="Calibri" w:hAnsi="Calibri" w:eastAsia="宋体" w:cs="Times New Roman"/>
      <w:kern w:val="2"/>
      <w:sz w:val="21"/>
      <w:szCs w:val="22"/>
      <w:lang w:val="en-US" w:eastAsia="zh-CN" w:bidi="ar-SA"/>
    </w:rPr>
  </w:style>
  <w:style w:type="paragraph" w:customStyle="1" w:styleId="105">
    <w:name w:val="p0"/>
    <w:basedOn w:val="1"/>
    <w:qFormat/>
    <w:uiPriority w:val="99"/>
    <w:pPr>
      <w:widowControl/>
      <w:jc w:val="left"/>
    </w:pPr>
    <w:rPr>
      <w:rFonts w:ascii="Times New Roman" w:hAnsi="Times New Roman"/>
      <w:kern w:val="0"/>
      <w:sz w:val="24"/>
      <w:szCs w:val="24"/>
    </w:rPr>
  </w:style>
  <w:style w:type="character" w:customStyle="1" w:styleId="106">
    <w:name w:val="text-msgparser"/>
    <w:basedOn w:val="25"/>
    <w:qFormat/>
    <w:uiPriority w:val="0"/>
  </w:style>
  <w:style w:type="paragraph" w:customStyle="1" w:styleId="107">
    <w:name w:val="列出段落2"/>
    <w:basedOn w:val="1"/>
    <w:qFormat/>
    <w:uiPriority w:val="34"/>
    <w:pPr>
      <w:widowControl/>
      <w:ind w:firstLine="420"/>
      <w:jc w:val="left"/>
    </w:pPr>
    <w:rPr>
      <w:rFonts w:cs="宋体" w:asciiTheme="minorHAnsi" w:hAnsiTheme="minorHAnsi" w:eastAsiaTheme="minorEastAsia"/>
      <w:kern w:val="0"/>
      <w:sz w:val="24"/>
      <w:szCs w:val="24"/>
    </w:rPr>
  </w:style>
  <w:style w:type="table" w:customStyle="1" w:styleId="108">
    <w:name w:val="网格型1"/>
    <w:basedOn w:val="2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9">
    <w:name w:val="15"/>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10">
    <w:name w:val="16"/>
    <w:basedOn w:val="1"/>
    <w:uiPriority w:val="0"/>
    <w:pPr>
      <w:widowControl/>
      <w:spacing w:before="100" w:beforeAutospacing="1" w:after="100" w:afterAutospacing="1"/>
      <w:jc w:val="left"/>
    </w:pPr>
    <w:rPr>
      <w:rFonts w:ascii="宋体" w:hAnsi="宋体" w:cs="宋体"/>
      <w:kern w:val="0"/>
      <w:sz w:val="24"/>
      <w:szCs w:val="24"/>
    </w:rPr>
  </w:style>
  <w:style w:type="paragraph" w:customStyle="1" w:styleId="111">
    <w:name w:val="151"/>
    <w:basedOn w:val="1"/>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F2F3F9-0861-4AA4-9422-ADEF5214AAFE}">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34</Pages>
  <Words>35511</Words>
  <Characters>37072</Characters>
  <Lines>271</Lines>
  <Paragraphs>76</Paragraphs>
  <TotalTime>6</TotalTime>
  <ScaleCrop>false</ScaleCrop>
  <LinksUpToDate>false</LinksUpToDate>
  <CharactersWithSpaces>37295</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2024-02-23T01:19:00Z</dcterms:created>
  <dc:creator>meihj</dc:creator>
  <cp:lastModifiedBy>Mr.kingsman</cp:lastModifiedBy>
  <cp:lastPrinted>2021-12-31T11:40:00Z</cp:lastPrinted>
  <dcterms:modified xsi:type="dcterms:W3CDTF">2024-02-25T03:50:43Z</dcterms:modified>
  <dc:title>东风汽车公司乘用车公司</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8BEE87EA65944EEFBAB59DC059B68551</vt:lpwstr>
  </property>
</Properties>
</file>