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7" w:line="180" w:lineRule="auto"/>
        <w:jc w:val="center"/>
        <w:rPr>
          <w:rFonts w:hint="default" w:ascii="Times New Roman" w:hAnsi="Times New Roman" w:eastAsia="等线" w:cs="Times New Roman"/>
          <w:sz w:val="30"/>
          <w:szCs w:val="30"/>
        </w:rPr>
      </w:pPr>
      <w:r>
        <w:rPr>
          <w:rFonts w:hint="default" w:ascii="Times New Roman" w:hAnsi="Times New Roman" w:eastAsia="等线" w:cs="Times New Roman"/>
          <w:b/>
          <w:bCs/>
          <w:spacing w:val="-1"/>
          <w:sz w:val="30"/>
          <w:szCs w:val="30"/>
        </w:rPr>
        <w:t xml:space="preserve">Quantitative Stock </w:t>
      </w:r>
      <w:r>
        <w:rPr>
          <w:rFonts w:hint="default" w:ascii="Times New Roman" w:hAnsi="Times New Roman" w:eastAsia="等线" w:cs="Times New Roman"/>
          <w:b/>
          <w:bCs/>
          <w:spacing w:val="-1"/>
          <w:sz w:val="30"/>
          <w:szCs w:val="30"/>
          <w:lang w:eastAsia="zh-CN"/>
        </w:rPr>
        <w:t>Selection</w:t>
      </w:r>
      <w:r>
        <w:rPr>
          <w:rFonts w:hint="default" w:ascii="Times New Roman" w:hAnsi="Times New Roman" w:eastAsia="等线" w:cs="Times New Roman"/>
          <w:b/>
          <w:bCs/>
          <w:spacing w:val="-1"/>
          <w:sz w:val="30"/>
          <w:szCs w:val="30"/>
        </w:rPr>
        <w:t xml:space="preserve"> Based on Stock Index Hedging</w:t>
      </w:r>
    </w:p>
    <w:p>
      <w:pPr>
        <w:spacing w:line="250" w:lineRule="auto"/>
        <w:jc w:val="both"/>
        <w:rPr>
          <w:rFonts w:hint="default" w:ascii="Times New Roman" w:hAnsi="Times New Roman" w:eastAsia="等线" w:cs="Times New Roman"/>
          <w:sz w:val="21"/>
        </w:rPr>
      </w:pPr>
    </w:p>
    <w:p>
      <w:pPr>
        <w:spacing w:line="251" w:lineRule="auto"/>
        <w:jc w:val="both"/>
        <w:rPr>
          <w:rFonts w:hint="default" w:ascii="Times New Roman" w:hAnsi="Times New Roman" w:eastAsia="等线" w:cs="Times New Roman"/>
          <w:sz w:val="21"/>
        </w:rPr>
      </w:pPr>
    </w:p>
    <w:p>
      <w:pPr>
        <w:spacing w:line="251" w:lineRule="auto"/>
        <w:jc w:val="both"/>
        <w:rPr>
          <w:rFonts w:hint="default" w:ascii="Times New Roman" w:hAnsi="Times New Roman" w:eastAsia="等线" w:cs="Times New Roman"/>
          <w:sz w:val="21"/>
        </w:rPr>
      </w:pPr>
    </w:p>
    <w:p>
      <w:pPr>
        <w:spacing w:before="81" w:line="180" w:lineRule="auto"/>
        <w:ind w:firstLine="14"/>
        <w:jc w:val="both"/>
        <w:rPr>
          <w:rFonts w:hint="default" w:ascii="Times New Roman" w:hAnsi="Times New Roman" w:eastAsia="等线" w:cs="Times New Roman"/>
          <w:sz w:val="24"/>
          <w:szCs w:val="24"/>
        </w:rPr>
      </w:pPr>
      <w:r>
        <w:rPr>
          <w:rFonts w:hint="default" w:ascii="Times New Roman" w:hAnsi="Times New Roman" w:eastAsia="等线" w:cs="Times New Roman"/>
          <w:b/>
          <w:bCs/>
          <w:spacing w:val="-1"/>
          <w:sz w:val="24"/>
          <w:szCs w:val="24"/>
        </w:rPr>
        <w:t>Core view.</w:t>
      </w:r>
    </w:p>
    <w:p>
      <w:pPr>
        <w:spacing w:before="241" w:line="314" w:lineRule="auto"/>
        <w:ind w:left="22" w:right="13" w:firstLine="430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As quantitative strategies are studied in depth, many previously very effective factors, such as market capitalization factor, momentum factor, volatility factor, etc., sometimes experience more pronounced oscillations or failures . Therefore, the factor selection models need to be further improved. In this report, an attempt was made to combine the equal weighted sum of the effective factors for stock selection with a hedging strategy for the pushing stock index, in order to obtain a better performing strategy. More experimentation and research on factor selection is needed in the future.</w:t>
      </w:r>
    </w:p>
    <w:p>
      <w:pPr>
        <w:spacing w:before="241" w:line="314" w:lineRule="auto"/>
        <w:ind w:left="22" w:right="13" w:firstLine="430"/>
        <w:jc w:val="both"/>
        <w:rPr>
          <w:rFonts w:hint="default" w:ascii="Times New Roman" w:hAnsi="Times New Roman" w:eastAsia="等线" w:cs="Times New Roman"/>
          <w:spacing w:val="-3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This report is divided into the following main sections.</w:t>
      </w:r>
    </w:p>
    <w:p>
      <w:pPr>
        <w:spacing w:before="119" w:line="213" w:lineRule="auto"/>
        <w:ind w:firstLine="29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4"/>
          <w:w w:val="99"/>
          <w:sz w:val="21"/>
          <w:szCs w:val="21"/>
        </w:rPr>
        <w:t>1. First, we introduce common indicators for factor selection to build a factor library</w:t>
      </w:r>
    </w:p>
    <w:p>
      <w:pPr>
        <w:spacing w:before="125" w:line="213" w:lineRule="auto"/>
        <w:ind w:firstLine="29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4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. Secondly, the new factor is constructed using equal weight summation for stock selection, as a long strategy</w:t>
      </w:r>
    </w:p>
    <w:p>
      <w:pPr>
        <w:spacing w:before="122" w:line="213" w:lineRule="auto"/>
        <w:ind w:firstLine="25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4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 xml:space="preserve">. Then,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  <w:lang w:val="en-US" w:eastAsia="zh-CN"/>
        </w:rPr>
        <w:t xml:space="preserve">we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construct the CSI 500 stock index trade based on the component trading information and use it as a short strategy</w:t>
      </w:r>
    </w:p>
    <w:p>
      <w:pPr>
        <w:spacing w:before="122" w:line="213" w:lineRule="auto"/>
        <w:ind w:firstLine="22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4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 xml:space="preserve">. Next, stock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  <w:lang w:eastAsia="zh-CN"/>
        </w:rPr>
        <w:t>selection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 xml:space="preserve"> and timing are combined as the final trading strategy and evaluated for the strategy</w:t>
      </w:r>
    </w:p>
    <w:p>
      <w:pPr>
        <w:spacing w:before="122" w:line="213" w:lineRule="auto"/>
        <w:ind w:firstLine="22"/>
        <w:jc w:val="both"/>
        <w:rPr>
          <w:rFonts w:hint="default" w:ascii="Times New Roman" w:hAnsi="Times New Roman" w:eastAsia="等线" w:cs="Times New Roman"/>
          <w:spacing w:val="-4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4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. Finally, performance attribution, i.e., analysis of stock selection returns and timing returns</w:t>
      </w:r>
    </w:p>
    <w:p>
      <w:pPr>
        <w:spacing w:line="414" w:lineRule="auto"/>
        <w:jc w:val="both"/>
        <w:rPr>
          <w:rFonts w:hint="default" w:ascii="Times New Roman" w:hAnsi="Times New Roman" w:eastAsia="等线" w:cs="Times New Roman"/>
          <w:sz w:val="21"/>
        </w:rPr>
      </w:pPr>
    </w:p>
    <w:p>
      <w:pPr>
        <w:spacing w:before="81" w:line="180" w:lineRule="auto"/>
        <w:ind w:firstLine="27"/>
        <w:jc w:val="both"/>
        <w:outlineLvl w:val="0"/>
        <w:rPr>
          <w:rFonts w:hint="default" w:ascii="Times New Roman" w:hAnsi="Times New Roman" w:eastAsia="等线" w:cs="Times New Roman"/>
          <w:sz w:val="24"/>
          <w:szCs w:val="24"/>
        </w:rPr>
      </w:pPr>
      <w:r>
        <w:rPr>
          <w:rFonts w:hint="default" w:ascii="Times New Roman" w:hAnsi="Times New Roman" w:eastAsia="等线" w:cs="Times New Roman"/>
          <w:b/>
          <w:bCs/>
          <w:spacing w:val="-5"/>
          <w:sz w:val="24"/>
          <w:szCs w:val="24"/>
        </w:rPr>
        <w:t>I. One-factor backtesting and factor library building</w:t>
      </w:r>
    </w:p>
    <w:p>
      <w:pPr>
        <w:spacing w:before="240" w:line="213" w:lineRule="auto"/>
        <w:ind w:firstLine="462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Using 5Dforward as an example for backtesting, the strategy is evaluated by quintiles of the stock pool and some of the results are listed below</w:t>
      </w:r>
    </w:p>
    <w:p>
      <w:pPr>
        <w:spacing w:before="90" w:line="2769" w:lineRule="exact"/>
        <w:ind w:firstLine="14"/>
        <w:jc w:val="center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5255895" cy="1758315"/>
            <wp:effectExtent l="0" t="0" r="1905" b="13335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276" cy="17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3" w:lineRule="auto"/>
        <w:jc w:val="both"/>
        <w:rPr>
          <w:rFonts w:hint="default" w:ascii="Times New Roman" w:hAnsi="Times New Roman" w:eastAsia="等线" w:cs="Times New Roman"/>
          <w:sz w:val="21"/>
        </w:rPr>
      </w:pPr>
    </w:p>
    <w:p>
      <w:pPr>
        <w:spacing w:before="1" w:line="2755" w:lineRule="exact"/>
        <w:ind w:firstLine="14"/>
        <w:jc w:val="center"/>
        <w:textAlignment w:val="center"/>
        <w:rPr>
          <w:rFonts w:hint="default" w:ascii="Times New Roman" w:hAnsi="Times New Roman" w:eastAsia="等线" w:cs="Times New Roman"/>
        </w:rPr>
      </w:pPr>
      <w:bookmarkStart w:id="1" w:name="_GoBack"/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5203825" cy="17494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59" cy="17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jc w:val="both"/>
        <w:rPr>
          <w:rFonts w:hint="default" w:ascii="Times New Roman" w:hAnsi="Times New Roman" w:eastAsia="等线" w:cs="Times New Roman"/>
        </w:rPr>
        <w:sectPr>
          <w:pgSz w:w="11906" w:h="16839"/>
          <w:pgMar w:top="1134" w:right="1134" w:bottom="1134" w:left="1134" w:header="0" w:footer="0" w:gutter="0"/>
          <w:cols w:space="720" w:num="1"/>
        </w:sectPr>
      </w:pPr>
    </w:p>
    <w:p>
      <w:pPr>
        <w:spacing w:before="42" w:line="2731" w:lineRule="exact"/>
        <w:ind w:firstLine="14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826135</wp:posOffset>
            </wp:positionH>
            <wp:positionV relativeFrom="paragraph">
              <wp:posOffset>83820</wp:posOffset>
            </wp:positionV>
            <wp:extent cx="4465955" cy="1616710"/>
            <wp:effectExtent l="0" t="0" r="10795" b="254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1" w:line="279" w:lineRule="auto"/>
        <w:ind w:left="22" w:leftChars="0" w:right="8" w:firstLine="500" w:firstLineChars="0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 xml:space="preserve">Based on the above strategy performance,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 xml:space="preserve">information such as decreasing </w:t>
      </w: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5D</w:t>
      </w:r>
      <w:r>
        <w:rPr>
          <w:rFonts w:hint="default" w:ascii="Times New Roman" w:hAnsi="Times New Roman" w:eastAsia="等线" w:cs="Times New Roman"/>
          <w:spacing w:val="-3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 xml:space="preserve">forward factor return grouping, higher overall volatility, and maximum pullback </w:t>
      </w:r>
      <w:r>
        <w:rPr>
          <w:rFonts w:hint="default" w:ascii="Times New Roman" w:hAnsi="Times New Roman" w:eastAsia="等线" w:cs="Times New Roman"/>
          <w:spacing w:val="-3"/>
          <w:sz w:val="21"/>
          <w:szCs w:val="21"/>
          <w:lang w:val="en-US" w:eastAsia="zh-CN"/>
        </w:rPr>
        <w:t>data such as</w:t>
      </w: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eastAsia="等线" w:cs="Times New Roman"/>
          <w:spacing w:val="-3"/>
          <w:sz w:val="21"/>
          <w:szCs w:val="21"/>
          <w:lang w:val="en-US" w:eastAsia="zh-CN"/>
        </w:rPr>
        <w:t>"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Now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 xml:space="preserve"> 2011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  <w:lang w:eastAsia="zh-CN"/>
        </w:rPr>
        <w:t xml:space="preserve">" </w:t>
      </w: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 xml:space="preserve">can be found.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 xml:space="preserve">Similarly, the 16 </w:t>
      </w: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 xml:space="preserve">factors with the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 xml:space="preserve">best return performance were selected </w:t>
      </w: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 xml:space="preserve">as the factor pool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according to the single factor backtest and strategy performance.</w:t>
      </w:r>
    </w:p>
    <w:p>
      <w:pPr>
        <w:spacing w:before="158" w:line="180" w:lineRule="auto"/>
        <w:ind w:firstLine="31"/>
        <w:jc w:val="both"/>
        <w:outlineLvl w:val="0"/>
        <w:rPr>
          <w:rFonts w:hint="default" w:ascii="Times New Roman" w:hAnsi="Times New Roman" w:eastAsia="等线" w:cs="Times New Roman"/>
          <w:sz w:val="24"/>
          <w:szCs w:val="24"/>
        </w:rPr>
      </w:pPr>
      <w:r>
        <w:rPr>
          <w:rFonts w:hint="default" w:ascii="Times New Roman" w:hAnsi="Times New Roman" w:eastAsia="等线" w:cs="Times New Roman"/>
          <w:b/>
          <w:bCs/>
          <w:spacing w:val="-13"/>
          <w:sz w:val="24"/>
          <w:szCs w:val="24"/>
        </w:rPr>
        <w:t>II. Factor selection</w:t>
      </w:r>
    </w:p>
    <w:p>
      <w:pPr>
        <w:spacing w:before="269" w:line="180" w:lineRule="auto"/>
        <w:ind w:firstLine="23"/>
        <w:jc w:val="both"/>
        <w:outlineLvl w:val="0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b/>
          <w:bCs/>
          <w:spacing w:val="-3"/>
          <w:sz w:val="21"/>
          <w:szCs w:val="21"/>
        </w:rPr>
        <w:t>2.1 Factor selection based on IC value analysis</w:t>
      </w:r>
    </w:p>
    <w:p>
      <w:pPr>
        <w:spacing w:before="128" w:line="213" w:lineRule="auto"/>
        <w:ind w:firstLine="462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The IC of the factor is the correlation coefficient between the exposure vector of the factor in period T and the stock return vector in period T+1, i.e.</w:t>
      </w:r>
    </w:p>
    <w:p>
      <w:pPr>
        <w:spacing w:before="84" w:line="205" w:lineRule="auto"/>
        <w:ind w:firstLine="3305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b/>
          <w:bCs/>
          <w:i/>
          <w:iCs/>
          <w:spacing w:val="5"/>
          <w:w w:val="104"/>
          <w:sz w:val="22"/>
          <w:szCs w:val="22"/>
        </w:rPr>
        <w:t>IC</w:t>
      </w:r>
      <w:r>
        <w:rPr>
          <w:rFonts w:hint="default" w:ascii="Times New Roman" w:hAnsi="Times New Roman" w:eastAsia="等线" w:cs="Times New Roman"/>
          <w:b/>
          <w:bCs/>
          <w:i/>
          <w:iCs/>
          <w:spacing w:val="5"/>
          <w:w w:val="104"/>
          <w:position w:val="9"/>
          <w:sz w:val="11"/>
          <w:szCs w:val="11"/>
        </w:rPr>
        <w:t>T</w:t>
      </w:r>
      <w:r>
        <w:rPr>
          <w:rFonts w:hint="default" w:ascii="Times New Roman" w:hAnsi="Times New Roman" w:eastAsia="等线" w:cs="Times New Roman"/>
          <w:spacing w:val="28"/>
          <w:position w:val="9"/>
          <w:sz w:val="11"/>
          <w:szCs w:val="11"/>
        </w:rPr>
        <w:t xml:space="preserve"> </w:t>
      </w:r>
      <w:r>
        <w:rPr>
          <w:rFonts w:hint="default" w:ascii="Times New Roman" w:hAnsi="Times New Roman" w:eastAsia="等线" w:cs="Times New Roman"/>
          <w:b/>
          <w:bCs/>
          <w:spacing w:val="5"/>
          <w:w w:val="104"/>
          <w:sz w:val="21"/>
          <w:szCs w:val="21"/>
        </w:rPr>
        <w:t>=</w:t>
      </w:r>
      <w:r>
        <w:rPr>
          <w:rFonts w:hint="default" w:ascii="Times New Roman" w:hAnsi="Times New Roman" w:eastAsia="等线" w:cs="Times New Roman"/>
          <w:spacing w:val="10"/>
          <w:sz w:val="21"/>
          <w:szCs w:val="21"/>
        </w:rPr>
        <w:t xml:space="preserve"> </w:t>
      </w:r>
      <w:r>
        <w:rPr>
          <w:rFonts w:hint="default" w:ascii="Times New Roman" w:hAnsi="Times New Roman" w:eastAsia="等线" w:cs="Times New Roman"/>
          <w:b/>
          <w:bCs/>
          <w:spacing w:val="5"/>
          <w:w w:val="104"/>
          <w:sz w:val="21"/>
          <w:szCs w:val="21"/>
        </w:rPr>
        <w:t>corr(</w:t>
      </w:r>
      <w:r>
        <w:rPr>
          <w:rFonts w:hint="default" w:ascii="Times New Roman" w:hAnsi="Times New Roman" w:eastAsia="等线" w:cs="Times New Roman"/>
          <w:b/>
          <w:bCs/>
          <w:i/>
          <w:iCs/>
          <w:spacing w:val="5"/>
          <w:w w:val="104"/>
          <w:sz w:val="22"/>
          <w:szCs w:val="22"/>
        </w:rPr>
        <w:t>r</w:t>
      </w:r>
      <w:r>
        <w:rPr>
          <w:rFonts w:hint="default" w:ascii="Times New Roman" w:hAnsi="Times New Roman" w:eastAsia="等线" w:cs="Times New Roman"/>
          <w:b/>
          <w:bCs/>
          <w:i/>
          <w:iCs/>
          <w:spacing w:val="5"/>
          <w:w w:val="104"/>
          <w:position w:val="9"/>
          <w:sz w:val="11"/>
          <w:szCs w:val="11"/>
        </w:rPr>
        <w:t>T</w:t>
      </w:r>
      <w:r>
        <w:rPr>
          <w:rFonts w:hint="default" w:ascii="Times New Roman" w:hAnsi="Times New Roman" w:eastAsia="等线" w:cs="Times New Roman"/>
          <w:b/>
          <w:bCs/>
          <w:spacing w:val="5"/>
          <w:w w:val="104"/>
          <w:position w:val="9"/>
          <w:sz w:val="11"/>
          <w:szCs w:val="11"/>
        </w:rPr>
        <w:t>+1</w:t>
      </w:r>
      <w:r>
        <w:rPr>
          <w:rFonts w:hint="default" w:ascii="Times New Roman" w:hAnsi="Times New Roman" w:eastAsia="等线" w:cs="Times New Roman"/>
          <w:b/>
          <w:bCs/>
          <w:i/>
          <w:iCs/>
          <w:spacing w:val="5"/>
          <w:w w:val="104"/>
          <w:sz w:val="22"/>
          <w:szCs w:val="22"/>
        </w:rPr>
        <w:t>,</w:t>
      </w:r>
      <w:r>
        <w:rPr>
          <w:rFonts w:hint="default" w:ascii="Times New Roman" w:hAnsi="Times New Roman" w:eastAsia="等线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eastAsia="等线" w:cs="Times New Roman"/>
          <w:b/>
          <w:bCs/>
          <w:i/>
          <w:iCs/>
          <w:spacing w:val="5"/>
          <w:w w:val="104"/>
          <w:sz w:val="22"/>
          <w:szCs w:val="22"/>
        </w:rPr>
        <w:t>X</w:t>
      </w:r>
      <w:r>
        <w:rPr>
          <w:rFonts w:hint="default" w:ascii="Times New Roman" w:hAnsi="Times New Roman" w:eastAsia="等线" w:cs="Times New Roman"/>
          <w:b/>
          <w:bCs/>
          <w:i/>
          <w:iCs/>
          <w:spacing w:val="5"/>
          <w:w w:val="104"/>
          <w:position w:val="9"/>
          <w:sz w:val="11"/>
          <w:szCs w:val="11"/>
        </w:rPr>
        <w:t>T</w:t>
      </w:r>
      <w:r>
        <w:rPr>
          <w:rFonts w:hint="default" w:ascii="Times New Roman" w:hAnsi="Times New Roman" w:eastAsia="等线" w:cs="Times New Roman"/>
          <w:b/>
          <w:bCs/>
          <w:spacing w:val="5"/>
          <w:w w:val="104"/>
          <w:sz w:val="21"/>
          <w:szCs w:val="21"/>
        </w:rPr>
        <w:t>)</w:t>
      </w:r>
    </w:p>
    <w:p>
      <w:pPr>
        <w:spacing w:before="96" w:line="281" w:lineRule="auto"/>
        <w:ind w:left="22" w:right="15" w:firstLine="5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 xml:space="preserve">The factor exposure vectors in the above equation are generally not used directly from the original factor values, but from the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 xml:space="preserve">factor values after </w:t>
      </w: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 xml:space="preserve">depolarization and neutralization. In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 xml:space="preserve">practice, the Pearson correlation coefficient may be more influenced by the extreme values of the factors, while </w:t>
      </w:r>
      <w:r>
        <w:rPr>
          <w:rFonts w:hint="default" w:ascii="Times New Roman" w:hAnsi="Times New Roman" w:eastAsia="等线" w:cs="Times New Roman"/>
          <w:spacing w:val="41"/>
          <w:w w:val="101"/>
          <w:sz w:val="21"/>
          <w:szCs w:val="21"/>
        </w:rPr>
        <w:t xml:space="preserve">the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Spearman rank correlation coefficient is more robust</w:t>
      </w:r>
      <w:r>
        <w:rPr>
          <w:rFonts w:hint="default" w:ascii="Times New Roman" w:hAnsi="Times New Roman" w:eastAsia="等线" w:cs="Times New Roman"/>
          <w:spacing w:val="-30"/>
          <w:sz w:val="21"/>
          <w:szCs w:val="21"/>
          <w:lang w:eastAsia="zh-CN"/>
        </w:rPr>
        <w:t>. T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  <w:lang w:eastAsia="zh-CN"/>
        </w:rPr>
        <w:t xml:space="preserve">he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IC computed in this way is generally called Rank IC.</w:t>
      </w:r>
    </w:p>
    <w:p>
      <w:pPr>
        <w:spacing w:before="120" w:line="213" w:lineRule="auto"/>
        <w:ind w:firstLine="453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>The IC value analysis model is constructed as follows.</w:t>
      </w:r>
    </w:p>
    <w:p>
      <w:pPr>
        <w:spacing w:before="156" w:line="180" w:lineRule="auto"/>
        <w:ind w:firstLine="449"/>
        <w:jc w:val="both"/>
        <w:rPr>
          <w:rFonts w:hint="default" w:ascii="Times New Roman" w:hAnsi="Times New Roman" w:eastAsia="等线" w:cs="Times New Roman"/>
          <w:sz w:val="22"/>
          <w:szCs w:val="22"/>
        </w:rPr>
      </w:pPr>
      <w:r>
        <w:rPr>
          <w:rFonts w:hint="default" w:ascii="Times New Roman" w:hAnsi="Times New Roman" w:eastAsia="等线" w:cs="Times New Roman"/>
          <w:spacing w:val="-4"/>
          <w:w w:val="99"/>
          <w:sz w:val="22"/>
          <w:szCs w:val="22"/>
        </w:rPr>
        <w:t>1. The stock pool, the return interval, and the cross-sectional period are the same as the regression method.</w:t>
      </w:r>
    </w:p>
    <w:p>
      <w:pPr>
        <w:spacing w:before="130" w:line="316" w:lineRule="auto"/>
        <w:ind w:left="24" w:right="14" w:firstLine="420"/>
        <w:jc w:val="both"/>
        <w:rPr>
          <w:rFonts w:hint="default" w:ascii="Times New Roman" w:hAnsi="Times New Roman" w:eastAsia="等线" w:cs="Times New Roman"/>
          <w:sz w:val="22"/>
          <w:szCs w:val="22"/>
        </w:rPr>
      </w:pPr>
      <w:r>
        <w:rPr>
          <w:rFonts w:hint="default" w:ascii="Times New Roman" w:hAnsi="Times New Roman" w:eastAsia="等线" w:cs="Times New Roman"/>
          <w:spacing w:val="-4"/>
          <w:sz w:val="22"/>
          <w:szCs w:val="22"/>
        </w:rPr>
        <w:t>2. The factor exposure vector is pre-processed and the Spearman's rank correlation coefficient of the T-period factor exposure vector and the T+1-period stock return vector is calculated as the T-period factor Rank IC value.</w:t>
      </w:r>
    </w:p>
    <w:p>
      <w:pPr>
        <w:spacing w:line="263" w:lineRule="auto"/>
        <w:ind w:left="446" w:right="1232" w:hanging="3"/>
        <w:jc w:val="both"/>
        <w:rPr>
          <w:rFonts w:hint="default" w:ascii="Times New Roman" w:hAnsi="Times New Roman" w:eastAsia="等线" w:cs="Times New Roman"/>
          <w:spacing w:val="-4"/>
          <w:sz w:val="21"/>
          <w:szCs w:val="21"/>
          <w:lang w:eastAsia="zh-CN"/>
        </w:rPr>
      </w:pPr>
      <w:r>
        <w:rPr>
          <w:rFonts w:hint="default" w:ascii="Times New Roman" w:hAnsi="Times New Roman" w:eastAsia="等线" w:cs="Times New Roman"/>
          <w:spacing w:val="-4"/>
          <w:sz w:val="21"/>
          <w:szCs w:val="21"/>
          <w:lang w:eastAsia="zh-CN"/>
        </w:rPr>
        <w:t xml:space="preserve">The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IC value is calculated based on the weekly turnover rate, and the top 6 best performing factors are selected based on the size of the IC value.</w:t>
      </w:r>
    </w:p>
    <w:p>
      <w:pPr>
        <w:spacing w:line="263" w:lineRule="auto"/>
        <w:ind w:left="446" w:right="1232" w:hanging="3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 xml:space="preserve"> Code.</w:t>
      </w:r>
    </w:p>
    <w:p>
      <w:pPr>
        <w:spacing w:before="81" w:line="2791" w:lineRule="exact"/>
        <w:ind w:firstLine="278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964565</wp:posOffset>
            </wp:positionH>
            <wp:positionV relativeFrom="paragraph">
              <wp:posOffset>46990</wp:posOffset>
            </wp:positionV>
            <wp:extent cx="4364355" cy="1376045"/>
            <wp:effectExtent l="0" t="0" r="17145" b="14605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2" w:line="343" w:lineRule="exact"/>
        <w:ind w:firstLine="444"/>
        <w:jc w:val="both"/>
        <w:rPr>
          <w:rFonts w:hint="default" w:ascii="Times New Roman" w:hAnsi="Times New Roman" w:eastAsia="等线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等线" w:cs="Times New Roman"/>
          <w:spacing w:val="-3"/>
          <w:position w:val="11"/>
          <w:sz w:val="21"/>
          <w:szCs w:val="21"/>
        </w:rPr>
        <w:t xml:space="preserve">A sliding window </w:t>
      </w:r>
      <w:r>
        <w:rPr>
          <w:rFonts w:hint="default" w:ascii="Times New Roman" w:hAnsi="Times New Roman" w:eastAsia="等线" w:cs="Times New Roman"/>
          <w:spacing w:val="-3"/>
          <w:position w:val="11"/>
          <w:sz w:val="21"/>
          <w:szCs w:val="21"/>
          <w:lang w:eastAsia="zh-CN"/>
        </w:rPr>
        <w:t>is</w:t>
      </w:r>
      <w:r>
        <w:rPr>
          <w:rFonts w:hint="default" w:ascii="Times New Roman" w:hAnsi="Times New Roman" w:eastAsia="等线" w:cs="Times New Roman"/>
          <w:spacing w:val="-3"/>
          <w:position w:val="11"/>
          <w:sz w:val="21"/>
          <w:szCs w:val="21"/>
        </w:rPr>
        <w:t xml:space="preserve"> set at the end of each year to select the top 6 performing factors from the factor pool for each year.</w:t>
      </w:r>
    </w:p>
    <w:p>
      <w:pPr>
        <w:spacing w:before="1" w:line="212" w:lineRule="auto"/>
        <w:ind w:firstLine="44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Code.</w:t>
      </w:r>
    </w:p>
    <w:p>
      <w:pPr>
        <w:jc w:val="both"/>
        <w:rPr>
          <w:rFonts w:hint="default" w:ascii="Times New Roman" w:hAnsi="Times New Roman" w:eastAsia="等线" w:cs="Times New Roman"/>
        </w:rPr>
        <w:sectPr>
          <w:pgSz w:w="11906" w:h="16839"/>
          <w:pgMar w:top="1134" w:right="1134" w:bottom="1134" w:left="1134" w:header="0" w:footer="0" w:gutter="0"/>
          <w:cols w:space="720" w:num="1"/>
        </w:sectPr>
      </w:pPr>
    </w:p>
    <w:p>
      <w:pPr>
        <w:spacing w:before="135" w:line="3171" w:lineRule="exact"/>
        <w:ind w:firstLine="1386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3791585" cy="201295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711" cy="20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19" w:line="180" w:lineRule="auto"/>
        <w:ind w:firstLine="24"/>
        <w:jc w:val="both"/>
        <w:outlineLvl w:val="0"/>
        <w:rPr>
          <w:rFonts w:hint="default" w:ascii="Times New Roman" w:hAnsi="Times New Roman" w:eastAsia="等线" w:cs="Times New Roman"/>
          <w:sz w:val="24"/>
          <w:szCs w:val="24"/>
        </w:rPr>
      </w:pPr>
      <w:r>
        <w:rPr>
          <w:rFonts w:hint="default" w:ascii="Times New Roman" w:hAnsi="Times New Roman" w:eastAsia="等线" w:cs="Times New Roman"/>
          <w:b/>
          <w:bCs/>
          <w:spacing w:val="-5"/>
          <w:sz w:val="24"/>
          <w:szCs w:val="24"/>
        </w:rPr>
        <w:t>2.2 Equal weight summation of factors</w:t>
      </w:r>
    </w:p>
    <w:p>
      <w:pPr>
        <w:spacing w:before="243" w:line="213" w:lineRule="auto"/>
        <w:ind w:firstLine="455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That is, each factor is given the same weight , and its weight vector is</w:t>
      </w:r>
    </w:p>
    <w:p>
      <w:pPr>
        <w:spacing w:before="116" w:line="205" w:lineRule="auto"/>
        <w:ind w:firstLine="304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b/>
          <w:bCs/>
          <w:i/>
          <w:iCs/>
          <w:spacing w:val="-2"/>
          <w:sz w:val="22"/>
          <w:szCs w:val="22"/>
        </w:rPr>
        <w:t xml:space="preserve">V </w:t>
      </w:r>
      <w:r>
        <w:rPr>
          <w:rFonts w:hint="default" w:ascii="Times New Roman" w:hAnsi="Times New Roman" w:eastAsia="等线" w:cs="Times New Roman"/>
          <w:b/>
          <w:bCs/>
          <w:spacing w:val="-2"/>
          <w:sz w:val="21"/>
          <w:szCs w:val="21"/>
        </w:rPr>
        <w:t>= (</w:t>
      </w:r>
      <w:r>
        <w:rPr>
          <w:rFonts w:hint="default" w:ascii="Times New Roman" w:hAnsi="Times New Roman" w:eastAsia="等线" w:cs="Times New Roman"/>
          <w:b/>
          <w:bCs/>
          <w:i/>
          <w:iCs/>
          <w:spacing w:val="-2"/>
          <w:sz w:val="22"/>
          <w:szCs w:val="22"/>
        </w:rPr>
        <w:t>1/M</w:t>
      </w:r>
      <w:r>
        <w:rPr>
          <w:rFonts w:hint="default" w:ascii="Times New Roman" w:hAnsi="Times New Roman" w:eastAsia="等线" w:cs="Times New Roman"/>
          <w:b/>
          <w:bCs/>
          <w:spacing w:val="-2"/>
          <w:sz w:val="21"/>
          <w:szCs w:val="21"/>
        </w:rPr>
        <w:t xml:space="preserve">, </w:t>
      </w:r>
      <w:r>
        <w:rPr>
          <w:rFonts w:hint="default" w:ascii="Times New Roman" w:hAnsi="Times New Roman" w:eastAsia="等线" w:cs="Times New Roman"/>
          <w:b/>
          <w:bCs/>
          <w:i/>
          <w:iCs/>
          <w:spacing w:val="-2"/>
          <w:sz w:val="22"/>
          <w:szCs w:val="22"/>
        </w:rPr>
        <w:t>1/M</w:t>
      </w:r>
      <w:r>
        <w:rPr>
          <w:rFonts w:hint="default" w:ascii="Times New Roman" w:hAnsi="Times New Roman" w:eastAsia="等线" w:cs="Times New Roman"/>
          <w:b/>
          <w:bCs/>
          <w:spacing w:val="-2"/>
          <w:sz w:val="21"/>
          <w:szCs w:val="21"/>
        </w:rPr>
        <w:t xml:space="preserve">, .... , </w:t>
      </w:r>
      <w:r>
        <w:rPr>
          <w:rFonts w:hint="default" w:ascii="Times New Roman" w:hAnsi="Times New Roman" w:eastAsia="等线" w:cs="Times New Roman"/>
          <w:b/>
          <w:bCs/>
          <w:i/>
          <w:iCs/>
          <w:spacing w:val="-2"/>
          <w:sz w:val="22"/>
          <w:szCs w:val="22"/>
        </w:rPr>
        <w:t>1/M</w:t>
      </w:r>
      <w:r>
        <w:rPr>
          <w:rFonts w:hint="default" w:ascii="Times New Roman" w:hAnsi="Times New Roman" w:eastAsia="等线" w:cs="Times New Roman"/>
          <w:b/>
          <w:bCs/>
          <w:spacing w:val="-2"/>
          <w:sz w:val="21"/>
          <w:szCs w:val="21"/>
        </w:rPr>
        <w:t>)</w:t>
      </w:r>
    </w:p>
    <w:p>
      <w:pPr>
        <w:spacing w:before="126" w:line="374" w:lineRule="exact"/>
        <w:ind w:firstLine="24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2"/>
          <w:position w:val="11"/>
          <w:sz w:val="21"/>
          <w:szCs w:val="21"/>
        </w:rPr>
        <w:t>This weighting approach is simpler, but does not take into account the differences in factor validity.</w:t>
      </w:r>
    </w:p>
    <w:p>
      <w:pPr>
        <w:spacing w:line="212" w:lineRule="auto"/>
        <w:ind w:firstLine="44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Code.</w:t>
      </w:r>
    </w:p>
    <w:p>
      <w:pPr>
        <w:spacing w:before="201" w:line="679" w:lineRule="exact"/>
        <w:ind w:firstLine="1418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3486785" cy="43116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911" cy="43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2" w:line="180" w:lineRule="auto"/>
        <w:ind w:firstLine="24"/>
        <w:jc w:val="both"/>
        <w:outlineLvl w:val="0"/>
        <w:rPr>
          <w:rFonts w:hint="default" w:ascii="Times New Roman" w:hAnsi="Times New Roman" w:eastAsia="等线" w:cs="Times New Roman"/>
          <w:sz w:val="24"/>
          <w:szCs w:val="24"/>
        </w:rPr>
      </w:pPr>
      <w:r>
        <w:rPr>
          <w:rFonts w:hint="default" w:ascii="Times New Roman" w:hAnsi="Times New Roman" w:eastAsia="等线" w:cs="Times New Roman"/>
          <w:b/>
          <w:bCs/>
          <w:spacing w:val="-5"/>
          <w:w w:val="99"/>
          <w:sz w:val="24"/>
          <w:szCs w:val="24"/>
        </w:rPr>
        <w:t>2.3 Factor Selection</w:t>
      </w:r>
    </w:p>
    <w:p>
      <w:pPr>
        <w:spacing w:before="237" w:line="374" w:lineRule="exact"/>
        <w:ind w:firstLine="442"/>
        <w:jc w:val="both"/>
        <w:rPr>
          <w:rFonts w:hint="default" w:ascii="Times New Roman" w:hAnsi="Times New Roman" w:eastAsia="等线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等线" w:cs="Times New Roman"/>
          <w:spacing w:val="-3"/>
          <w:position w:val="11"/>
          <w:sz w:val="21"/>
          <w:szCs w:val="21"/>
        </w:rPr>
        <w:t>Decile the stock pool and select the top 30 stocks to go long</w:t>
      </w:r>
      <w:r>
        <w:rPr>
          <w:rFonts w:hint="default" w:ascii="Times New Roman" w:hAnsi="Times New Roman" w:eastAsia="等线" w:cs="Times New Roman"/>
          <w:spacing w:val="-3"/>
          <w:position w:val="11"/>
          <w:sz w:val="21"/>
          <w:szCs w:val="21"/>
          <w:lang w:eastAsia="zh-CN"/>
        </w:rPr>
        <w:t>.</w:t>
      </w:r>
    </w:p>
    <w:p>
      <w:pPr>
        <w:spacing w:before="1" w:line="212" w:lineRule="auto"/>
        <w:ind w:firstLine="44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Code.</w:t>
      </w:r>
    </w:p>
    <w:p>
      <w:pPr>
        <w:spacing w:before="143" w:line="2981" w:lineRule="exact"/>
        <w:ind w:firstLine="1096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3898265" cy="189230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391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3" w:line="205" w:lineRule="auto"/>
        <w:ind w:firstLine="445"/>
        <w:jc w:val="both"/>
        <w:rPr>
          <w:rFonts w:hint="default" w:ascii="Times New Roman" w:hAnsi="Times New Roman" w:eastAsia="等线" w:cs="Times New Roman"/>
          <w:spacing w:val="-2"/>
          <w:sz w:val="21"/>
          <w:szCs w:val="21"/>
          <w:lang w:eastAsia="zh-CN"/>
        </w:rPr>
      </w:pP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>Set monthly position transfers</w:t>
      </w:r>
      <w:r>
        <w:rPr>
          <w:rFonts w:hint="default" w:ascii="Times New Roman" w:hAnsi="Times New Roman" w:eastAsia="等线" w:cs="Times New Roman"/>
          <w:spacing w:val="-2"/>
          <w:sz w:val="21"/>
          <w:szCs w:val="21"/>
          <w:lang w:eastAsia="zh-CN"/>
        </w:rPr>
        <w:t>.</w:t>
      </w:r>
    </w:p>
    <w:p>
      <w:pPr>
        <w:spacing w:before="123" w:line="205" w:lineRule="auto"/>
        <w:ind w:firstLine="445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>Code.</w:t>
      </w:r>
    </w:p>
    <w:p>
      <w:pPr>
        <w:spacing w:line="339" w:lineRule="auto"/>
        <w:jc w:val="both"/>
        <w:rPr>
          <w:rFonts w:hint="default" w:ascii="Times New Roman" w:hAnsi="Times New Roman" w:eastAsia="等线" w:cs="Times New Roman"/>
          <w:sz w:val="21"/>
        </w:rPr>
      </w:pPr>
    </w:p>
    <w:p>
      <w:pPr>
        <w:spacing w:before="1" w:line="2131" w:lineRule="exact"/>
        <w:ind w:firstLine="2027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2979420" cy="135318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3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等线" w:cs="Times New Roman"/>
        </w:rPr>
        <w:sectPr>
          <w:pgSz w:w="11906" w:h="16839"/>
          <w:pgMar w:top="1134" w:right="1134" w:bottom="1134" w:left="1134" w:header="0" w:footer="0" w:gutter="0"/>
          <w:cols w:space="720" w:num="1"/>
        </w:sectPr>
      </w:pPr>
    </w:p>
    <w:p>
      <w:pPr>
        <w:spacing w:before="198" w:line="180" w:lineRule="auto"/>
        <w:ind w:firstLine="24"/>
        <w:jc w:val="both"/>
        <w:outlineLvl w:val="0"/>
        <w:rPr>
          <w:rFonts w:hint="default" w:ascii="Times New Roman" w:hAnsi="Times New Roman" w:eastAsia="等线" w:cs="Times New Roman"/>
          <w:sz w:val="24"/>
          <w:szCs w:val="24"/>
        </w:rPr>
      </w:pPr>
      <w:r>
        <w:rPr>
          <w:rFonts w:hint="default" w:ascii="Times New Roman" w:hAnsi="Times New Roman" w:eastAsia="等线" w:cs="Times New Roman"/>
          <w:b/>
          <w:bCs/>
          <w:spacing w:val="-3"/>
          <w:sz w:val="24"/>
          <w:szCs w:val="24"/>
        </w:rPr>
        <w:t>2.4 Strategy Evaluation</w:t>
      </w:r>
    </w:p>
    <w:p>
      <w:pPr>
        <w:spacing w:before="270" w:line="180" w:lineRule="auto"/>
        <w:ind w:firstLine="3082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b/>
          <w:bCs/>
          <w:spacing w:val="-6"/>
          <w:sz w:val="21"/>
          <w:szCs w:val="21"/>
        </w:rPr>
        <w:t>Figure 1. Factor selection system backtest results</w:t>
      </w:r>
    </w:p>
    <w:p>
      <w:pPr>
        <w:spacing w:before="196" w:line="3199" w:lineRule="exact"/>
        <w:ind w:firstLine="1876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2907665" cy="203136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7791" cy="203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70" w:line="274" w:lineRule="auto"/>
        <w:ind w:left="25" w:right="15" w:hanging="3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 xml:space="preserve">Based on the strategy evaluation, it is clear that the maximum retracement of the factor stock </w:t>
      </w:r>
      <w:r>
        <w:rPr>
          <w:rFonts w:hint="default" w:ascii="Times New Roman" w:hAnsi="Times New Roman" w:eastAsia="等线" w:cs="Times New Roman"/>
          <w:spacing w:val="-3"/>
          <w:sz w:val="21"/>
          <w:szCs w:val="21"/>
          <w:lang w:eastAsia="zh-CN"/>
        </w:rPr>
        <w:t>selection</w:t>
      </w: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 xml:space="preserve"> strategy is large and also the annualized volatility is high, so further improvement is needed.</w:t>
      </w:r>
    </w:p>
    <w:p>
      <w:pPr>
        <w:spacing w:line="307" w:lineRule="auto"/>
        <w:jc w:val="both"/>
        <w:rPr>
          <w:rFonts w:hint="default" w:ascii="Times New Roman" w:hAnsi="Times New Roman" w:eastAsia="等线" w:cs="Times New Roman"/>
          <w:sz w:val="21"/>
        </w:rPr>
      </w:pPr>
    </w:p>
    <w:p>
      <w:pPr>
        <w:spacing w:before="82" w:line="180" w:lineRule="auto"/>
        <w:ind w:firstLine="26"/>
        <w:jc w:val="both"/>
        <w:outlineLvl w:val="0"/>
        <w:rPr>
          <w:rFonts w:hint="default" w:ascii="Times New Roman" w:hAnsi="Times New Roman" w:eastAsia="等线" w:cs="Times New Roman"/>
          <w:sz w:val="24"/>
          <w:szCs w:val="24"/>
        </w:rPr>
      </w:pPr>
      <w:r>
        <w:rPr>
          <w:rFonts w:hint="default" w:ascii="Times New Roman" w:hAnsi="Times New Roman" w:eastAsia="等线" w:cs="Times New Roman"/>
          <w:b/>
          <w:bCs/>
          <w:spacing w:val="-9"/>
          <w:sz w:val="24"/>
          <w:szCs w:val="24"/>
          <w:lang w:val="en-US" w:eastAsia="zh-CN"/>
        </w:rPr>
        <w:t>III.</w:t>
      </w:r>
      <w:r>
        <w:rPr>
          <w:rFonts w:hint="default" w:ascii="Times New Roman" w:hAnsi="Times New Roman" w:eastAsia="等线" w:cs="Times New Roman"/>
          <w:b/>
          <w:bCs/>
          <w:spacing w:val="-9"/>
          <w:sz w:val="24"/>
          <w:szCs w:val="24"/>
        </w:rPr>
        <w:t xml:space="preserve"> the broad market strategy</w:t>
      </w:r>
    </w:p>
    <w:p>
      <w:pPr>
        <w:spacing w:before="274" w:line="180" w:lineRule="auto"/>
        <w:ind w:firstLine="21"/>
        <w:jc w:val="both"/>
        <w:outlineLvl w:val="0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b/>
          <w:bCs/>
          <w:spacing w:val="-3"/>
          <w:sz w:val="21"/>
          <w:szCs w:val="21"/>
        </w:rPr>
        <w:t>3.1 Data sources</w:t>
      </w:r>
    </w:p>
    <w:p>
      <w:pPr>
        <w:spacing w:before="130" w:line="374" w:lineRule="exact"/>
        <w:ind w:firstLine="462"/>
        <w:jc w:val="both"/>
        <w:rPr>
          <w:rFonts w:hint="default" w:ascii="Times New Roman" w:hAnsi="Times New Roman" w:eastAsia="等线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等线" w:cs="Times New Roman"/>
          <w:spacing w:val="-3"/>
          <w:position w:val="11"/>
          <w:sz w:val="21"/>
          <w:szCs w:val="21"/>
        </w:rPr>
        <w:t>CSI 500 stock index and constituent trading data are sourced from the JoinQuant platform and Wind</w:t>
      </w:r>
      <w:r>
        <w:rPr>
          <w:rFonts w:hint="default" w:ascii="Times New Roman" w:hAnsi="Times New Roman" w:eastAsia="等线" w:cs="Times New Roman"/>
          <w:spacing w:val="-3"/>
          <w:position w:val="11"/>
          <w:sz w:val="21"/>
          <w:szCs w:val="21"/>
          <w:lang w:eastAsia="zh-CN"/>
        </w:rPr>
        <w:t>.</w:t>
      </w:r>
    </w:p>
    <w:p>
      <w:pPr>
        <w:spacing w:before="1" w:line="212" w:lineRule="auto"/>
        <w:ind w:firstLine="44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Code.</w:t>
      </w:r>
    </w:p>
    <w:p>
      <w:pPr>
        <w:spacing w:before="217" w:line="960" w:lineRule="exact"/>
        <w:ind w:firstLine="434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4597400" cy="60960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90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jc w:val="both"/>
        <w:rPr>
          <w:rFonts w:hint="default" w:ascii="Times New Roman" w:hAnsi="Times New Roman" w:eastAsia="等线" w:cs="Times New Roman"/>
          <w:sz w:val="21"/>
        </w:rPr>
      </w:pPr>
    </w:p>
    <w:p>
      <w:pPr>
        <w:spacing w:line="305" w:lineRule="exact"/>
        <w:ind w:firstLine="14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5267960" cy="19304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467" cy="19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51" w:line="180" w:lineRule="auto"/>
        <w:ind w:firstLine="21"/>
        <w:jc w:val="both"/>
        <w:outlineLvl w:val="0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b/>
          <w:bCs/>
          <w:spacing w:val="-2"/>
          <w:sz w:val="21"/>
          <w:szCs w:val="21"/>
        </w:rPr>
        <w:t>3.2 Indicator construction</w:t>
      </w:r>
    </w:p>
    <w:p>
      <w:pPr>
        <w:spacing w:before="127" w:line="213" w:lineRule="auto"/>
        <w:ind w:firstLine="44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First set the stock stop threshold µ (temporarily set to 9.5%)</w:t>
      </w:r>
    </w:p>
    <w:p>
      <w:pPr>
        <w:spacing w:before="122" w:line="374" w:lineRule="exact"/>
        <w:ind w:firstLine="323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4"/>
          <w:w w:val="99"/>
          <w:position w:val="11"/>
          <w:sz w:val="21"/>
          <w:szCs w:val="21"/>
        </w:rPr>
        <w:t>Stocks up &gt; µ , limit up;</w:t>
      </w:r>
    </w:p>
    <w:p>
      <w:pPr>
        <w:spacing w:before="1" w:line="212" w:lineRule="auto"/>
        <w:ind w:firstLine="3204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4"/>
          <w:w w:val="98"/>
          <w:sz w:val="21"/>
          <w:szCs w:val="21"/>
        </w:rPr>
        <w:t>Stocks up &lt; - µ , limit down</w:t>
      </w:r>
    </w:p>
    <w:p>
      <w:pPr>
        <w:spacing w:before="122" w:line="213" w:lineRule="auto"/>
        <w:ind w:firstLine="443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>a) Indicators based on the comparison of long and short market forces in a single day</w:t>
      </w:r>
    </w:p>
    <w:p>
      <w:pPr>
        <w:spacing w:before="122" w:line="213" w:lineRule="auto"/>
        <w:ind w:firstLine="442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6"/>
          <w:sz w:val="21"/>
          <w:szCs w:val="21"/>
        </w:rPr>
        <w:t>Ratio</w:t>
      </w:r>
      <w:r>
        <w:rPr>
          <w:rFonts w:hint="default" w:ascii="Times New Roman" w:hAnsi="Times New Roman" w:eastAsia="等线" w:cs="Times New Roman"/>
          <w:spacing w:val="-6"/>
          <w:sz w:val="21"/>
          <w:szCs w:val="21"/>
          <w:lang w:val="en-US" w:eastAsia="zh-CN"/>
        </w:rPr>
        <w:t xml:space="preserve"> </w:t>
      </w:r>
      <w:bookmarkStart w:id="0" w:name="OLE_LINK1"/>
      <w:r>
        <w:rPr>
          <w:rFonts w:hint="default" w:ascii="Times New Roman" w:hAnsi="Times New Roman" w:eastAsia="等线" w:cs="Times New Roman"/>
          <w:spacing w:val="-6"/>
          <w:sz w:val="21"/>
          <w:szCs w:val="21"/>
          <w:lang w:val="en-US" w:eastAsia="zh-CN"/>
        </w:rPr>
        <w:t>of limit up</w:t>
      </w:r>
      <w:bookmarkEnd w:id="0"/>
      <w:r>
        <w:rPr>
          <w:rFonts w:hint="default" w:ascii="Times New Roman" w:hAnsi="Times New Roman" w:eastAsia="等线" w:cs="Times New Roman"/>
          <w:spacing w:val="-6"/>
          <w:sz w:val="21"/>
          <w:szCs w:val="21"/>
        </w:rPr>
        <w:t>: The ratio of the number of constituent stocks with a single day increase greater than µ to the total number of its constituent stocks in a broad-based index.</w:t>
      </w:r>
    </w:p>
    <w:p>
      <w:pPr>
        <w:spacing w:before="123" w:line="264" w:lineRule="auto"/>
        <w:ind w:left="37" w:right="13" w:firstLine="403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Ratio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  <w:lang w:val="en-US" w:eastAsia="zh-CN"/>
        </w:rPr>
        <w:t xml:space="preserve"> of limit down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 xml:space="preserve">: The </w:t>
      </w:r>
      <w:r>
        <w:rPr>
          <w:rFonts w:hint="default" w:ascii="Times New Roman" w:hAnsi="Times New Roman" w:eastAsia="等线" w:cs="Times New Roman"/>
          <w:spacing w:val="-8"/>
          <w:sz w:val="21"/>
          <w:szCs w:val="21"/>
        </w:rPr>
        <w:t xml:space="preserve">ratio of the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number of components of a broad-based index with a one-day decline greater than µ (one-day increase less than - µ) to the total number of its components.</w:t>
      </w:r>
    </w:p>
    <w:p>
      <w:pPr>
        <w:spacing w:before="122" w:line="375" w:lineRule="exact"/>
        <w:ind w:firstLine="437"/>
        <w:jc w:val="both"/>
        <w:rPr>
          <w:rFonts w:hint="default" w:ascii="Times New Roman" w:hAnsi="Times New Roman" w:eastAsia="等线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等线" w:cs="Times New Roman"/>
          <w:b/>
          <w:bCs/>
          <w:spacing w:val="-3"/>
          <w:position w:val="11"/>
          <w:sz w:val="21"/>
          <w:szCs w:val="21"/>
        </w:rPr>
        <w:t>Push ratio</w:t>
      </w:r>
      <w:r>
        <w:rPr>
          <w:rFonts w:hint="default" w:ascii="Times New Roman" w:hAnsi="Times New Roman" w:eastAsia="等线" w:cs="Times New Roman"/>
          <w:spacing w:val="-3"/>
          <w:position w:val="11"/>
          <w:sz w:val="21"/>
          <w:szCs w:val="21"/>
        </w:rPr>
        <w:t>: Up ratio - down ratio ([ -1, 1])</w:t>
      </w:r>
      <w:r>
        <w:rPr>
          <w:rFonts w:hint="default" w:ascii="Times New Roman" w:hAnsi="Times New Roman" w:eastAsia="等线" w:cs="Times New Roman"/>
          <w:spacing w:val="-3"/>
          <w:position w:val="11"/>
          <w:sz w:val="21"/>
          <w:szCs w:val="21"/>
          <w:lang w:eastAsia="zh-CN"/>
        </w:rPr>
        <w:t>.</w:t>
      </w:r>
    </w:p>
    <w:p>
      <w:pPr>
        <w:spacing w:line="212" w:lineRule="auto"/>
        <w:ind w:firstLine="44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Code.</w:t>
      </w:r>
    </w:p>
    <w:p>
      <w:pPr>
        <w:jc w:val="both"/>
        <w:rPr>
          <w:rFonts w:hint="default" w:ascii="Times New Roman" w:hAnsi="Times New Roman" w:eastAsia="等线" w:cs="Times New Roman"/>
        </w:rPr>
        <w:sectPr>
          <w:pgSz w:w="11906" w:h="16839"/>
          <w:pgMar w:top="1134" w:right="1134" w:bottom="1134" w:left="1134" w:header="0" w:footer="0" w:gutter="0"/>
          <w:cols w:space="720" w:num="1"/>
        </w:sectPr>
      </w:pPr>
    </w:p>
    <w:p>
      <w:pPr>
        <w:spacing w:before="85" w:line="1714" w:lineRule="exact"/>
        <w:ind w:firstLine="1658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3185160" cy="108775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0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3" w:line="600" w:lineRule="exact"/>
        <w:ind w:firstLine="434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5267960" cy="381000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467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0" w:line="213" w:lineRule="auto"/>
        <w:ind w:firstLine="450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>b) Indicator based on the comparison of long and short market forces for two consecutive days</w:t>
      </w:r>
    </w:p>
    <w:p>
      <w:pPr>
        <w:spacing w:before="121" w:line="213" w:lineRule="auto"/>
        <w:ind w:firstLine="444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6"/>
          <w:sz w:val="21"/>
          <w:szCs w:val="21"/>
        </w:rPr>
        <w:t>Consecutive ratio</w:t>
      </w:r>
      <w:r>
        <w:rPr>
          <w:rFonts w:hint="default" w:ascii="Times New Roman" w:hAnsi="Times New Roman" w:eastAsia="等线" w:cs="Times New Roman"/>
          <w:spacing w:val="-6"/>
          <w:sz w:val="21"/>
          <w:szCs w:val="21"/>
          <w:lang w:val="en-US" w:eastAsia="zh-CN"/>
        </w:rPr>
        <w:t xml:space="preserve"> of limit up</w:t>
      </w:r>
      <w:r>
        <w:rPr>
          <w:rFonts w:hint="default" w:ascii="Times New Roman" w:hAnsi="Times New Roman" w:eastAsia="等线" w:cs="Times New Roman"/>
          <w:spacing w:val="-6"/>
          <w:sz w:val="21"/>
          <w:szCs w:val="21"/>
        </w:rPr>
        <w:t>: the ratio of the number of stocks that are up &gt; µ to the total number of its components for both today's and yesterday's increases in the broad-based index</w:t>
      </w:r>
    </w:p>
    <w:p>
      <w:pPr>
        <w:spacing w:before="122" w:line="316" w:lineRule="auto"/>
        <w:ind w:left="20" w:right="410" w:firstLine="423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Continuous Ratio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等线" w:cs="Times New Roman"/>
          <w:spacing w:val="-6"/>
          <w:sz w:val="21"/>
          <w:szCs w:val="21"/>
          <w:lang w:val="en-US" w:eastAsia="zh-CN"/>
        </w:rPr>
        <w:t>of limit down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 xml:space="preserve">: The </w:t>
      </w: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 xml:space="preserve">ratio of the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 xml:space="preserve">number of stocks whose broad-based index is down &gt; µ (up less than -µ) to the </w:t>
      </w: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 xml:space="preserve">total number of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its constituents for both today's and yesterday's declines</w:t>
      </w:r>
    </w:p>
    <w:p>
      <w:pPr>
        <w:spacing w:before="1" w:line="212" w:lineRule="auto"/>
        <w:ind w:firstLine="441"/>
        <w:jc w:val="both"/>
        <w:rPr>
          <w:rFonts w:hint="default" w:ascii="Times New Roman" w:hAnsi="Times New Roman" w:eastAsia="等线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等线" w:cs="Times New Roman"/>
          <w:b/>
          <w:bCs/>
          <w:spacing w:val="-3"/>
          <w:sz w:val="21"/>
          <w:szCs w:val="21"/>
        </w:rPr>
        <w:t>Scissors of consecutive board ratios</w:t>
      </w: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: consecutive up ratio - consecutive down ratio ([-1, 1])</w:t>
      </w:r>
      <w:r>
        <w:rPr>
          <w:rFonts w:hint="default" w:ascii="Times New Roman" w:hAnsi="Times New Roman" w:eastAsia="等线" w:cs="Times New Roman"/>
          <w:spacing w:val="-3"/>
          <w:sz w:val="21"/>
          <w:szCs w:val="21"/>
          <w:lang w:eastAsia="zh-CN"/>
        </w:rPr>
        <w:t>.</w:t>
      </w:r>
    </w:p>
    <w:p>
      <w:pPr>
        <w:spacing w:before="119" w:line="213" w:lineRule="auto"/>
        <w:ind w:firstLine="44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Code.</w:t>
      </w:r>
    </w:p>
    <w:p>
      <w:pPr>
        <w:spacing w:before="136" w:line="3000" w:lineRule="exact"/>
        <w:ind w:firstLine="1257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3954145" cy="19050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79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1" w:line="543" w:lineRule="exact"/>
        <w:ind w:firstLine="434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5267960" cy="344170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467" cy="3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9" w:line="213" w:lineRule="auto"/>
        <w:ind w:firstLine="444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>c) Indicator based on yesterday's closing price and the highest and lowest price</w:t>
      </w:r>
    </w:p>
    <w:p>
      <w:pPr>
        <w:spacing w:before="124" w:line="281" w:lineRule="auto"/>
        <w:ind w:left="20" w:right="412" w:firstLine="420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>Floor-to-sky ratio</w:t>
      </w:r>
      <w:r>
        <w:rPr>
          <w:rFonts w:hint="default" w:ascii="Times New Roman" w:hAnsi="Times New Roman" w:eastAsia="等线" w:cs="Times New Roman"/>
          <w:spacing w:val="-2"/>
          <w:sz w:val="21"/>
          <w:szCs w:val="21"/>
          <w:lang w:val="en-US" w:eastAsia="zh-CN"/>
        </w:rPr>
        <w:t xml:space="preserve">: </w:t>
      </w: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 xml:space="preserve">The </w:t>
      </w:r>
      <w:r>
        <w:rPr>
          <w:rFonts w:hint="default" w:ascii="Times New Roman" w:hAnsi="Times New Roman" w:eastAsia="等线" w:cs="Times New Roman"/>
          <w:spacing w:val="-10"/>
          <w:sz w:val="21"/>
          <w:szCs w:val="21"/>
        </w:rPr>
        <w:t xml:space="preserve">ratio of the number of stocks in the broad-based index with today's floor trend to the total number of its components; where the floor </w:t>
      </w: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 xml:space="preserve">trend is the lowest price today compared to yesterday's closing price of less than - µ (the stock has fallen during the session), while today's closing price </w:t>
      </w:r>
      <w:r>
        <w:rPr>
          <w:rFonts w:hint="default" w:ascii="Times New Roman" w:hAnsi="Times New Roman" w:eastAsia="等线" w:cs="Times New Roman"/>
          <w:spacing w:val="-1"/>
          <w:sz w:val="21"/>
          <w:szCs w:val="21"/>
        </w:rPr>
        <w:t>compared to yesterday's closing price of more than µ (the last closing is up).</w:t>
      </w:r>
    </w:p>
    <w:p>
      <w:pPr>
        <w:spacing w:before="124" w:line="281" w:lineRule="auto"/>
        <w:ind w:left="18" w:right="412" w:firstLine="42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10"/>
          <w:sz w:val="21"/>
          <w:szCs w:val="21"/>
        </w:rPr>
        <w:t>Sky</w:t>
      </w:r>
      <w:r>
        <w:rPr>
          <w:rFonts w:hint="default" w:ascii="Times New Roman" w:hAnsi="Times New Roman" w:eastAsia="等线" w:cs="Times New Roman"/>
          <w:spacing w:val="-10"/>
          <w:sz w:val="21"/>
          <w:szCs w:val="21"/>
          <w:lang w:val="en-US" w:eastAsia="zh-CN"/>
        </w:rPr>
        <w:t>-to-</w:t>
      </w:r>
      <w:r>
        <w:rPr>
          <w:rFonts w:hint="default" w:ascii="Times New Roman" w:hAnsi="Times New Roman" w:eastAsia="等线" w:cs="Times New Roman"/>
          <w:spacing w:val="-10"/>
          <w:sz w:val="21"/>
          <w:szCs w:val="21"/>
        </w:rPr>
        <w:t xml:space="preserve">Floor Ratio: The ratio of the number of stocks in the broad-based index with a sky floor today to the total number of its components; of which, the sky floor </w:t>
      </w:r>
      <w:r>
        <w:rPr>
          <w:rFonts w:hint="default" w:ascii="Times New Roman" w:hAnsi="Times New Roman" w:eastAsia="等线" w:cs="Times New Roman"/>
          <w:spacing w:val="-6"/>
          <w:sz w:val="21"/>
          <w:szCs w:val="21"/>
        </w:rPr>
        <w:t xml:space="preserve">stock trend: today's highest price compared to yesterday's closing price rose more than µ (the stock has been stopped during the day), but today's closing </w:t>
      </w:r>
      <w:r>
        <w:rPr>
          <w:rFonts w:hint="default" w:ascii="Times New Roman" w:hAnsi="Times New Roman" w:eastAsia="等线" w:cs="Times New Roman"/>
          <w:spacing w:val="-1"/>
          <w:sz w:val="21"/>
          <w:szCs w:val="21"/>
        </w:rPr>
        <w:t>price compared to yesterday's closing price rose less than - µ (the last closing was a stop)</w:t>
      </w:r>
    </w:p>
    <w:p>
      <w:pPr>
        <w:spacing w:before="122" w:line="374" w:lineRule="exact"/>
        <w:ind w:firstLine="437"/>
        <w:jc w:val="both"/>
        <w:rPr>
          <w:rFonts w:hint="default" w:ascii="Times New Roman" w:hAnsi="Times New Roman" w:eastAsia="等线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等线" w:cs="Times New Roman"/>
          <w:b/>
          <w:bCs/>
          <w:spacing w:val="-2"/>
          <w:position w:val="11"/>
          <w:sz w:val="21"/>
          <w:szCs w:val="21"/>
        </w:rPr>
        <w:t>Floor-to-sky ratio scissors</w:t>
      </w:r>
      <w:r>
        <w:rPr>
          <w:rFonts w:hint="default" w:ascii="Times New Roman" w:hAnsi="Times New Roman" w:eastAsia="等线" w:cs="Times New Roman"/>
          <w:spacing w:val="-2"/>
          <w:position w:val="11"/>
          <w:sz w:val="21"/>
          <w:szCs w:val="21"/>
        </w:rPr>
        <w:t>:</w:t>
      </w:r>
      <w:r>
        <w:rPr>
          <w:rFonts w:hint="default" w:ascii="Times New Roman" w:hAnsi="Times New Roman" w:eastAsia="等线" w:cs="Times New Roman"/>
          <w:b/>
          <w:bCs/>
          <w:spacing w:val="-2"/>
          <w:position w:val="11"/>
          <w:sz w:val="21"/>
          <w:szCs w:val="21"/>
        </w:rPr>
        <w:t xml:space="preserve"> Floor-to-</w:t>
      </w:r>
      <w:r>
        <w:rPr>
          <w:rFonts w:hint="default" w:ascii="Times New Roman" w:hAnsi="Times New Roman" w:eastAsia="等线" w:cs="Times New Roman"/>
          <w:spacing w:val="-2"/>
          <w:position w:val="11"/>
          <w:sz w:val="21"/>
          <w:szCs w:val="21"/>
        </w:rPr>
        <w:t>sky ratio - Sky-to-</w:t>
      </w:r>
      <w:r>
        <w:rPr>
          <w:rFonts w:hint="default" w:ascii="Times New Roman" w:hAnsi="Times New Roman" w:eastAsia="等线" w:cs="Times New Roman"/>
          <w:spacing w:val="-2"/>
          <w:position w:val="11"/>
          <w:sz w:val="21"/>
          <w:szCs w:val="21"/>
          <w:lang w:val="en-US" w:eastAsia="zh-CN"/>
        </w:rPr>
        <w:t>floor</w:t>
      </w:r>
      <w:r>
        <w:rPr>
          <w:rFonts w:hint="default" w:ascii="Times New Roman" w:hAnsi="Times New Roman" w:eastAsia="等线" w:cs="Times New Roman"/>
          <w:spacing w:val="-2"/>
          <w:position w:val="11"/>
          <w:sz w:val="21"/>
          <w:szCs w:val="21"/>
        </w:rPr>
        <w:t xml:space="preserve"> ratio</w:t>
      </w:r>
      <w:r>
        <w:rPr>
          <w:rFonts w:hint="default" w:ascii="Times New Roman" w:hAnsi="Times New Roman" w:eastAsia="等线" w:cs="Times New Roman"/>
          <w:spacing w:val="-2"/>
          <w:position w:val="11"/>
          <w:sz w:val="21"/>
          <w:szCs w:val="21"/>
          <w:lang w:eastAsia="zh-CN"/>
        </w:rPr>
        <w:t>.</w:t>
      </w:r>
    </w:p>
    <w:p>
      <w:pPr>
        <w:spacing w:before="1" w:line="212" w:lineRule="auto"/>
        <w:ind w:firstLine="44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Code.</w:t>
      </w:r>
    </w:p>
    <w:p>
      <w:pPr>
        <w:spacing w:before="177" w:line="1029" w:lineRule="exact"/>
        <w:ind w:firstLine="1396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3777615" cy="65341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7995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等线" w:cs="Times New Roman"/>
        </w:rPr>
        <w:sectPr>
          <w:pgSz w:w="11906" w:h="16839"/>
          <w:pgMar w:top="1134" w:right="1134" w:bottom="1134" w:left="1134" w:header="0" w:footer="0" w:gutter="0"/>
          <w:cols w:space="720" w:num="1"/>
        </w:sectPr>
      </w:pPr>
    </w:p>
    <w:p>
      <w:pPr>
        <w:spacing w:before="138" w:line="1296" w:lineRule="exact"/>
        <w:ind w:firstLine="434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5269865" cy="822325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991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96" w:line="497" w:lineRule="exact"/>
        <w:ind w:firstLine="434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5266690" cy="31496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943" cy="3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3" w:line="213" w:lineRule="auto"/>
        <w:ind w:firstLine="438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1"/>
          <w:sz w:val="21"/>
          <w:szCs w:val="21"/>
        </w:rPr>
        <w:t>Price Volume Resonance Timing Model.</w:t>
      </w:r>
    </w:p>
    <w:p>
      <w:pPr>
        <w:spacing w:before="124" w:line="281" w:lineRule="auto"/>
        <w:ind w:left="18" w:right="412" w:firstLine="426"/>
        <w:jc w:val="both"/>
        <w:rPr>
          <w:rFonts w:hint="default" w:ascii="Times New Roman" w:hAnsi="Times New Roman" w:eastAsia="等线" w:cs="Times New Roman"/>
          <w:spacing w:val="-10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10"/>
          <w:sz w:val="21"/>
          <w:szCs w:val="21"/>
        </w:rPr>
        <w:t>Long position: AMA30/AMA100 of the above three indicators &gt; 1.15, and AMA30 and AMA100 are greater than 0</w:t>
      </w:r>
      <w:r>
        <w:rPr>
          <w:rFonts w:hint="default" w:ascii="Times New Roman" w:hAnsi="Times New Roman" w:eastAsia="等线" w:cs="Times New Roman"/>
          <w:spacing w:val="-10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eastAsia="等线" w:cs="Times New Roman"/>
          <w:spacing w:val="-10"/>
          <w:sz w:val="21"/>
          <w:szCs w:val="21"/>
        </w:rPr>
        <w:t xml:space="preserve"> Short position: AMA30 or AMA100 is less than 0</w:t>
      </w:r>
    </w:p>
    <w:p>
      <w:pPr>
        <w:spacing w:before="124" w:line="281" w:lineRule="auto"/>
        <w:ind w:left="18" w:right="412" w:firstLine="426"/>
        <w:jc w:val="both"/>
        <w:rPr>
          <w:rFonts w:hint="default" w:ascii="Times New Roman" w:hAnsi="Times New Roman" w:eastAsia="等线" w:cs="Times New Roman"/>
          <w:spacing w:val="-10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10"/>
          <w:sz w:val="21"/>
          <w:szCs w:val="21"/>
        </w:rPr>
        <w:t>Transformation of buy and sell signals based on timing models for each indicator, e.g.</w:t>
      </w:r>
    </w:p>
    <w:p>
      <w:pPr>
        <w:spacing w:before="122" w:line="213" w:lineRule="auto"/>
        <w:ind w:firstLine="44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Code.</w:t>
      </w:r>
    </w:p>
    <w:p>
      <w:pPr>
        <w:spacing w:before="80" w:line="915" w:lineRule="exact"/>
        <w:ind w:firstLine="657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4713605" cy="580390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732" cy="5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2" w:line="686" w:lineRule="exact"/>
        <w:ind w:firstLine="434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5368925" cy="43561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9052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79" w:line="376" w:lineRule="exact"/>
        <w:ind w:firstLine="444"/>
        <w:jc w:val="both"/>
        <w:rPr>
          <w:rFonts w:hint="default" w:ascii="Times New Roman" w:hAnsi="Times New Roman" w:eastAsia="等线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等线" w:cs="Times New Roman"/>
          <w:spacing w:val="-2"/>
          <w:position w:val="11"/>
          <w:sz w:val="21"/>
          <w:szCs w:val="21"/>
        </w:rPr>
        <w:t>d) Construct the final stock index buy and sell signals by summing the factors with equal weights</w:t>
      </w:r>
      <w:r>
        <w:rPr>
          <w:rFonts w:hint="default" w:ascii="Times New Roman" w:hAnsi="Times New Roman" w:eastAsia="等线" w:cs="Times New Roman"/>
          <w:spacing w:val="-2"/>
          <w:position w:val="11"/>
          <w:sz w:val="21"/>
          <w:szCs w:val="21"/>
          <w:lang w:eastAsia="zh-CN"/>
        </w:rPr>
        <w:t>.</w:t>
      </w:r>
    </w:p>
    <w:p>
      <w:pPr>
        <w:spacing w:before="1" w:line="212" w:lineRule="auto"/>
        <w:ind w:firstLine="44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Code.</w:t>
      </w:r>
    </w:p>
    <w:p>
      <w:pPr>
        <w:spacing w:before="136" w:line="1116" w:lineRule="exact"/>
        <w:ind w:firstLine="434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5273040" cy="708025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1" w:line="5442" w:lineRule="exact"/>
        <w:ind w:firstLine="19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pict>
          <v:group id="_x0000_s1026" o:spid="_x0000_s1026" o:spt="203" style="height:256.75pt;width:361.2pt;" coordsize="8305,5442">
            <o:lock v:ext="edit" aspectratio="f"/>
            <v:shape id="_x0000_s1027" o:spid="_x0000_s1027" o:spt="75" type="#_x0000_t75" style="position:absolute;left:858;top:688;height:3693;width:6992;" filled="f" o:preferrelative="t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28" o:spid="_x0000_s1028" o:spt="202" type="#_x0000_t202" style="position:absolute;left:-20;top:-20;height:5482;width:834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85" w:lineRule="auto"/>
                      <w:ind w:firstLine="21"/>
                      <w:outlineLvl w:val="0"/>
                      <w:rPr>
                        <w:rFonts w:ascii="等线" w:hAnsi="等线" w:eastAsia="等线" w:cs="等线"/>
                        <w:sz w:val="21"/>
                        <w:szCs w:val="21"/>
                      </w:rPr>
                    </w:pPr>
                    <w:r>
                      <w:rPr>
                        <w:rFonts w:ascii="等线" w:hAnsi="等线" w:eastAsia="等线" w:cs="等线"/>
                        <w:b/>
                        <w:bCs/>
                        <w:spacing w:val="-3"/>
                        <w:sz w:val="21"/>
                        <w:szCs w:val="21"/>
                      </w:rPr>
                      <w:t>3.3 Strategy Evaluation</w:t>
                    </w:r>
                  </w:p>
                  <w:p>
                    <w:pPr>
                      <w:spacing w:before="153" w:line="180" w:lineRule="auto"/>
                      <w:ind w:firstLine="2016"/>
                      <w:rPr>
                        <w:rFonts w:ascii="等线" w:hAnsi="等线" w:eastAsia="等线" w:cs="等线"/>
                        <w:sz w:val="21"/>
                        <w:szCs w:val="21"/>
                      </w:rPr>
                    </w:pPr>
                    <w:r>
                      <w:rPr>
                        <w:rFonts w:ascii="等线" w:hAnsi="等线" w:eastAsia="等线" w:cs="等线"/>
                        <w:b/>
                        <w:bCs/>
                        <w:spacing w:val="-4"/>
                        <w:sz w:val="21"/>
                        <w:szCs w:val="21"/>
                      </w:rPr>
                      <w:t xml:space="preserve">Figure 2. Results of the CSI 500 </w:t>
                    </w:r>
                    <w:r>
                      <w:rPr>
                        <w:rFonts w:hint="eastAsia" w:ascii="等线" w:hAnsi="等线" w:eastAsia="等线" w:cs="等线"/>
                        <w:b/>
                        <w:bCs/>
                        <w:spacing w:val="-4"/>
                        <w:sz w:val="21"/>
                        <w:szCs w:val="21"/>
                        <w:lang w:eastAsia="zh-CN"/>
                      </w:rPr>
                      <w:t>push</w:t>
                    </w:r>
                    <w:r>
                      <w:rPr>
                        <w:rFonts w:ascii="等线" w:hAnsi="等线" w:eastAsia="等线" w:cs="等线"/>
                        <w:b/>
                        <w:bCs/>
                        <w:spacing w:val="-4"/>
                        <w:sz w:val="21"/>
                        <w:szCs w:val="21"/>
                      </w:rPr>
                      <w:t xml:space="preserve"> Model Timing System Backtest</w:t>
                    </w:r>
                  </w:p>
                  <w:p>
                    <w:pPr>
                      <w:spacing w:line="246" w:lineRule="auto"/>
                      <w:rPr>
                        <w:rFonts w:ascii="等线"/>
                        <w:sz w:val="21"/>
                      </w:rPr>
                    </w:pPr>
                  </w:p>
                  <w:p>
                    <w:pPr>
                      <w:spacing w:line="246" w:lineRule="auto"/>
                      <w:rPr>
                        <w:rFonts w:ascii="等线"/>
                        <w:sz w:val="21"/>
                      </w:rPr>
                    </w:pPr>
                  </w:p>
                  <w:p>
                    <w:pPr>
                      <w:spacing w:line="246" w:lineRule="auto"/>
                      <w:rPr>
                        <w:rFonts w:ascii="等线"/>
                        <w:sz w:val="21"/>
                      </w:rPr>
                    </w:pPr>
                  </w:p>
                  <w:p>
                    <w:pPr>
                      <w:spacing w:line="247" w:lineRule="auto"/>
                      <w:rPr>
                        <w:rFonts w:ascii="等线"/>
                        <w:sz w:val="21"/>
                      </w:rPr>
                    </w:pPr>
                  </w:p>
                  <w:p>
                    <w:pPr>
                      <w:spacing w:line="247" w:lineRule="auto"/>
                      <w:rPr>
                        <w:rFonts w:ascii="等线"/>
                        <w:sz w:val="21"/>
                      </w:rPr>
                    </w:pPr>
                  </w:p>
                  <w:p>
                    <w:pPr>
                      <w:spacing w:line="247" w:lineRule="auto"/>
                      <w:rPr>
                        <w:rFonts w:ascii="等线"/>
                        <w:sz w:val="21"/>
                      </w:rPr>
                    </w:pPr>
                  </w:p>
                  <w:p>
                    <w:pPr>
                      <w:spacing w:line="247" w:lineRule="auto"/>
                      <w:rPr>
                        <w:rFonts w:ascii="等线"/>
                        <w:sz w:val="21"/>
                      </w:rPr>
                    </w:pPr>
                  </w:p>
                  <w:p>
                    <w:pPr>
                      <w:spacing w:line="247" w:lineRule="auto"/>
                      <w:rPr>
                        <w:rFonts w:ascii="等线"/>
                        <w:sz w:val="21"/>
                      </w:rPr>
                    </w:pPr>
                  </w:p>
                  <w:p>
                    <w:pPr>
                      <w:spacing w:line="247" w:lineRule="auto"/>
                      <w:rPr>
                        <w:rFonts w:ascii="等线"/>
                        <w:sz w:val="21"/>
                      </w:rPr>
                    </w:pPr>
                  </w:p>
                  <w:p>
                    <w:pPr>
                      <w:spacing w:line="247" w:lineRule="auto"/>
                      <w:rPr>
                        <w:rFonts w:ascii="等线"/>
                        <w:sz w:val="21"/>
                      </w:rPr>
                    </w:pPr>
                  </w:p>
                  <w:p>
                    <w:pPr>
                      <w:spacing w:line="247" w:lineRule="auto"/>
                      <w:rPr>
                        <w:rFonts w:ascii="等线"/>
                        <w:sz w:val="21"/>
                      </w:rPr>
                    </w:pPr>
                  </w:p>
                  <w:p>
                    <w:pPr>
                      <w:spacing w:before="71" w:line="276" w:lineRule="auto"/>
                      <w:ind w:left="20" w:right="20" w:firstLine="2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 w:hAnsi="等线" w:eastAsia="等线" w:cs="等线"/>
                        <w:spacing w:val="-2"/>
                        <w:sz w:val="18"/>
                        <w:szCs w:val="18"/>
                      </w:rPr>
                      <w:t xml:space="preserve">The push model worked well for the CSI 500 stock market after 2016, able to outperform the broader market and achieve a perfect bottoming and </w:t>
                    </w:r>
                    <w:r>
                      <w:rPr>
                        <w:rFonts w:ascii="等线" w:hAnsi="等线" w:eastAsia="等线" w:cs="等线"/>
                        <w:spacing w:val="-5"/>
                        <w:sz w:val="18"/>
                        <w:szCs w:val="18"/>
                      </w:rPr>
                      <w:t xml:space="preserve">topping. However, before February 2016, there was a partial probability of losing the bottoming signal, and also failed to capture </w:t>
                    </w:r>
                    <w:r>
                      <w:rPr>
                        <w:rFonts w:ascii="等线" w:hAnsi="等线" w:eastAsia="等线" w:cs="等线"/>
                        <w:spacing w:val="-1"/>
                        <w:sz w:val="18"/>
                        <w:szCs w:val="18"/>
                      </w:rPr>
                      <w:t>some of the tops and bottoms of the market.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jc w:val="both"/>
        <w:rPr>
          <w:rFonts w:hint="default" w:ascii="Times New Roman" w:hAnsi="Times New Roman" w:eastAsia="等线" w:cs="Times New Roman"/>
        </w:rPr>
        <w:sectPr>
          <w:pgSz w:w="11906" w:h="16839"/>
          <w:pgMar w:top="1134" w:right="1134" w:bottom="1134" w:left="1134" w:header="0" w:footer="0" w:gutter="0"/>
          <w:cols w:space="720" w:num="1"/>
        </w:sectPr>
      </w:pPr>
    </w:p>
    <w:p>
      <w:pPr>
        <w:spacing w:before="89" w:line="180" w:lineRule="auto"/>
        <w:ind w:firstLine="201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b/>
          <w:bCs/>
          <w:spacing w:val="-3"/>
          <w:sz w:val="21"/>
          <w:szCs w:val="21"/>
        </w:rPr>
        <w:t>Figure 3. CSI 300 Index Push Model Timing System Backtest Results</w:t>
      </w:r>
    </w:p>
    <w:p>
      <w:pPr>
        <w:spacing w:before="133" w:line="3622" w:lineRule="exact"/>
        <w:ind w:firstLine="546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4591685" cy="229933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811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9" w:line="264" w:lineRule="auto"/>
        <w:ind w:left="22" w:right="8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 xml:space="preserve">The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  <w:lang w:eastAsia="zh-CN"/>
        </w:rPr>
        <w:t>push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 xml:space="preserve"> model works better for the CSI 300 in the backtest period overall, specifically, it performs </w:t>
      </w:r>
      <w:r>
        <w:rPr>
          <w:rFonts w:hint="default" w:ascii="Times New Roman" w:hAnsi="Times New Roman" w:eastAsia="等线" w:cs="Times New Roman"/>
          <w:spacing w:val="-5"/>
          <w:sz w:val="21"/>
          <w:szCs w:val="21"/>
        </w:rPr>
        <w:t xml:space="preserve">poorly 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in 2009-2012</w:t>
      </w:r>
      <w:r>
        <w:rPr>
          <w:rFonts w:hint="default" w:ascii="Times New Roman" w:hAnsi="Times New Roman" w:eastAsia="等线" w:cs="Times New Roman"/>
          <w:spacing w:val="-5"/>
          <w:sz w:val="21"/>
          <w:szCs w:val="21"/>
        </w:rPr>
        <w:t>, which is consistent with the CSI 500, and can outperform the broader market in the rest of the period, which is perfect for bottoming and topping out.</w:t>
      </w:r>
    </w:p>
    <w:p>
      <w:pPr>
        <w:spacing w:before="121" w:line="213" w:lineRule="auto"/>
        <w:ind w:firstLine="451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In addition, the performance of the model in different markets is shown in Table 1 below.</w:t>
      </w:r>
    </w:p>
    <w:p>
      <w:pPr>
        <w:spacing w:before="153" w:line="180" w:lineRule="auto"/>
        <w:ind w:firstLine="2648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b/>
          <w:bCs/>
          <w:spacing w:val="-3"/>
          <w:sz w:val="21"/>
          <w:szCs w:val="21"/>
        </w:rPr>
        <w:t xml:space="preserve">Table 1: Backtesting results of the </w:t>
      </w:r>
      <w:r>
        <w:rPr>
          <w:rFonts w:hint="default" w:ascii="Times New Roman" w:hAnsi="Times New Roman" w:eastAsia="等线" w:cs="Times New Roman"/>
          <w:b/>
          <w:bCs/>
          <w:spacing w:val="-3"/>
          <w:sz w:val="21"/>
          <w:szCs w:val="21"/>
          <w:lang w:eastAsia="zh-CN"/>
        </w:rPr>
        <w:t>push</w:t>
      </w:r>
      <w:r>
        <w:rPr>
          <w:rFonts w:hint="default" w:ascii="Times New Roman" w:hAnsi="Times New Roman" w:eastAsia="等线" w:cs="Times New Roman"/>
          <w:b/>
          <w:bCs/>
          <w:spacing w:val="-3"/>
          <w:sz w:val="21"/>
          <w:szCs w:val="21"/>
        </w:rPr>
        <w:t xml:space="preserve"> Timing System</w:t>
      </w:r>
    </w:p>
    <w:p>
      <w:pPr>
        <w:spacing w:line="81" w:lineRule="exact"/>
        <w:jc w:val="both"/>
        <w:rPr>
          <w:rFonts w:hint="default" w:ascii="Times New Roman" w:hAnsi="Times New Roman" w:eastAsia="等线" w:cs="Times New Roman"/>
        </w:rPr>
      </w:pPr>
    </w:p>
    <w:tbl>
      <w:tblPr>
        <w:tblStyle w:val="4"/>
        <w:tblW w:w="7450" w:type="dxa"/>
        <w:tblInd w:w="441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5"/>
        <w:gridCol w:w="1254"/>
        <w:gridCol w:w="1045"/>
        <w:gridCol w:w="940"/>
        <w:gridCol w:w="940"/>
        <w:gridCol w:w="1045"/>
        <w:gridCol w:w="1181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1045" w:type="dxa"/>
            <w:tcBorders>
              <w:top w:val="single" w:color="000000" w:sz="16" w:space="0"/>
              <w:bottom w:val="single" w:color="000000" w:sz="16" w:space="0"/>
            </w:tcBorders>
            <w:vAlign w:val="top"/>
          </w:tcPr>
          <w:p>
            <w:pPr>
              <w:spacing w:before="54" w:line="180" w:lineRule="auto"/>
              <w:ind w:firstLine="109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pacing w:val="-2"/>
                <w:sz w:val="21"/>
                <w:szCs w:val="21"/>
              </w:rPr>
              <w:t>Subject</w:t>
            </w:r>
          </w:p>
        </w:tc>
        <w:tc>
          <w:tcPr>
            <w:tcW w:w="1254" w:type="dxa"/>
            <w:tcBorders>
              <w:top w:val="single" w:color="000000" w:sz="16" w:space="0"/>
              <w:bottom w:val="single" w:color="000000" w:sz="16" w:space="0"/>
            </w:tcBorders>
            <w:vAlign w:val="top"/>
          </w:tcPr>
          <w:p>
            <w:pPr>
              <w:spacing w:before="51" w:line="262" w:lineRule="auto"/>
              <w:ind w:left="232" w:right="100" w:hanging="4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pacing w:val="-10"/>
                <w:sz w:val="21"/>
                <w:szCs w:val="21"/>
              </w:rPr>
              <w:t xml:space="preserve">Annualized </w:t>
            </w:r>
            <w:r>
              <w:rPr>
                <w:rFonts w:hint="default" w:ascii="Times New Roman" w:hAnsi="Times New Roman" w:eastAsia="等线" w:cs="Times New Roman"/>
                <w:b/>
                <w:bCs/>
                <w:sz w:val="21"/>
                <w:szCs w:val="21"/>
              </w:rPr>
              <w:t>Yield</w:t>
            </w:r>
          </w:p>
        </w:tc>
        <w:tc>
          <w:tcPr>
            <w:tcW w:w="1045" w:type="dxa"/>
            <w:tcBorders>
              <w:top w:val="single" w:color="000000" w:sz="16" w:space="0"/>
              <w:bottom w:val="single" w:color="000000" w:sz="16" w:space="0"/>
            </w:tcBorders>
            <w:vAlign w:val="top"/>
          </w:tcPr>
          <w:p>
            <w:pPr>
              <w:spacing w:before="54" w:line="261" w:lineRule="auto"/>
              <w:ind w:left="126" w:right="101" w:hanging="2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pacing w:val="-8"/>
                <w:sz w:val="21"/>
                <w:szCs w:val="21"/>
              </w:rPr>
              <w:t xml:space="preserve">Annualized </w:t>
            </w:r>
            <w:r>
              <w:rPr>
                <w:rFonts w:hint="default" w:ascii="Times New Roman" w:hAnsi="Times New Roman" w:eastAsia="等线" w:cs="Times New Roman"/>
                <w:b/>
                <w:bCs/>
                <w:spacing w:val="-6"/>
                <w:sz w:val="21"/>
                <w:szCs w:val="21"/>
              </w:rPr>
              <w:t>volatility</w:t>
            </w:r>
          </w:p>
        </w:tc>
        <w:tc>
          <w:tcPr>
            <w:tcW w:w="940" w:type="dxa"/>
            <w:tcBorders>
              <w:top w:val="single" w:color="000000" w:sz="16" w:space="0"/>
              <w:bottom w:val="single" w:color="000000" w:sz="16" w:space="0"/>
            </w:tcBorders>
            <w:vAlign w:val="top"/>
          </w:tcPr>
          <w:p>
            <w:pPr>
              <w:spacing w:before="53" w:line="262" w:lineRule="auto"/>
              <w:ind w:left="125" w:right="119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pacing w:val="-16"/>
                <w:sz w:val="21"/>
                <w:szCs w:val="21"/>
              </w:rPr>
              <w:t xml:space="preserve">Sharpe </w:t>
            </w:r>
            <w:r>
              <w:rPr>
                <w:rFonts w:hint="default" w:ascii="Times New Roman" w:hAnsi="Times New Roman" w:eastAsia="等线" w:cs="Times New Roman"/>
                <w:b/>
                <w:bCs/>
                <w:sz w:val="21"/>
                <w:szCs w:val="21"/>
              </w:rPr>
              <w:t>Ratio</w:t>
            </w:r>
          </w:p>
        </w:tc>
        <w:tc>
          <w:tcPr>
            <w:tcW w:w="940" w:type="dxa"/>
            <w:tcBorders>
              <w:top w:val="single" w:color="000000" w:sz="16" w:space="0"/>
              <w:bottom w:val="single" w:color="000000" w:sz="16" w:space="0"/>
            </w:tcBorders>
            <w:vAlign w:val="top"/>
          </w:tcPr>
          <w:p>
            <w:pPr>
              <w:spacing w:before="52" w:line="262" w:lineRule="auto"/>
              <w:ind w:left="106" w:right="142" w:hanging="7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pacing w:val="-13"/>
                <w:sz w:val="21"/>
                <w:szCs w:val="21"/>
              </w:rPr>
              <w:t xml:space="preserve">Information </w:t>
            </w:r>
            <w:r>
              <w:rPr>
                <w:rFonts w:hint="default" w:ascii="Times New Roman" w:hAnsi="Times New Roman" w:eastAsia="等线" w:cs="Times New Roman"/>
                <w:b/>
                <w:bCs/>
                <w:sz w:val="21"/>
                <w:szCs w:val="21"/>
              </w:rPr>
              <w:t>Ratio</w:t>
            </w:r>
          </w:p>
        </w:tc>
        <w:tc>
          <w:tcPr>
            <w:tcW w:w="1045" w:type="dxa"/>
            <w:tcBorders>
              <w:top w:val="single" w:color="000000" w:sz="16" w:space="0"/>
              <w:bottom w:val="single" w:color="000000" w:sz="16" w:space="0"/>
            </w:tcBorders>
            <w:vAlign w:val="top"/>
          </w:tcPr>
          <w:p>
            <w:pPr>
              <w:spacing w:before="51" w:line="180" w:lineRule="auto"/>
              <w:ind w:firstLine="84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pacing w:val="-3"/>
                <w:sz w:val="21"/>
                <w:szCs w:val="21"/>
              </w:rPr>
              <w:t>Maximum retracement</w:t>
            </w:r>
          </w:p>
        </w:tc>
        <w:tc>
          <w:tcPr>
            <w:tcW w:w="1181" w:type="dxa"/>
            <w:tcBorders>
              <w:top w:val="single" w:color="000000" w:sz="16" w:space="0"/>
              <w:bottom w:val="single" w:color="000000" w:sz="16" w:space="0"/>
            </w:tcBorders>
            <w:vAlign w:val="top"/>
          </w:tcPr>
          <w:p>
            <w:pPr>
              <w:spacing w:before="50" w:line="180" w:lineRule="auto"/>
              <w:ind w:firstLine="90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pacing w:val="-2"/>
                <w:sz w:val="21"/>
                <w:szCs w:val="21"/>
              </w:rPr>
              <w:t>Winning percentage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3" w:hRule="atLeast"/>
        </w:trPr>
        <w:tc>
          <w:tcPr>
            <w:tcW w:w="1045" w:type="dxa"/>
            <w:tcBorders>
              <w:top w:val="single" w:color="000000" w:sz="16" w:space="0"/>
              <w:bottom w:val="single" w:color="000000" w:sz="16" w:space="0"/>
            </w:tcBorders>
            <w:vAlign w:val="top"/>
          </w:tcPr>
          <w:p>
            <w:pPr>
              <w:spacing w:before="52" w:line="574" w:lineRule="exact"/>
              <w:ind w:firstLine="135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pacing w:val="-9"/>
                <w:position w:val="29"/>
                <w:sz w:val="21"/>
                <w:szCs w:val="21"/>
              </w:rPr>
              <w:t>CSI 500</w:t>
            </w:r>
          </w:p>
          <w:p>
            <w:pPr>
              <w:spacing w:before="1" w:line="204" w:lineRule="auto"/>
              <w:ind w:firstLine="117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pacing w:val="-5"/>
                <w:sz w:val="21"/>
                <w:szCs w:val="21"/>
              </w:rPr>
              <w:t>CSI 300</w:t>
            </w:r>
          </w:p>
        </w:tc>
        <w:tc>
          <w:tcPr>
            <w:tcW w:w="1254" w:type="dxa"/>
            <w:tcBorders>
              <w:top w:val="single" w:color="000000" w:sz="16" w:space="0"/>
              <w:bottom w:val="single" w:color="000000" w:sz="16" w:space="0"/>
            </w:tcBorders>
            <w:vAlign w:val="top"/>
          </w:tcPr>
          <w:p>
            <w:pPr>
              <w:spacing w:before="41" w:line="578" w:lineRule="exact"/>
              <w:ind w:firstLine="238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spacing w:val="-3"/>
                <w:position w:val="28"/>
                <w:sz w:val="21"/>
                <w:szCs w:val="21"/>
              </w:rPr>
              <w:t>100.64%</w:t>
            </w:r>
          </w:p>
          <w:p>
            <w:pPr>
              <w:spacing w:line="204" w:lineRule="auto"/>
              <w:ind w:firstLine="238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spacing w:val="-3"/>
                <w:sz w:val="21"/>
                <w:szCs w:val="21"/>
              </w:rPr>
              <w:t>100.6%</w:t>
            </w:r>
          </w:p>
        </w:tc>
        <w:tc>
          <w:tcPr>
            <w:tcW w:w="1045" w:type="dxa"/>
            <w:tcBorders>
              <w:top w:val="single" w:color="000000" w:sz="16" w:space="0"/>
              <w:bottom w:val="single" w:color="000000" w:sz="16" w:space="0"/>
            </w:tcBorders>
            <w:vAlign w:val="top"/>
          </w:tcPr>
          <w:p>
            <w:pPr>
              <w:spacing w:before="41" w:line="578" w:lineRule="exact"/>
              <w:ind w:firstLine="126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spacing w:val="-2"/>
                <w:position w:val="28"/>
                <w:sz w:val="21"/>
                <w:szCs w:val="21"/>
              </w:rPr>
              <w:t>36.48%</w:t>
            </w:r>
          </w:p>
          <w:p>
            <w:pPr>
              <w:spacing w:line="204" w:lineRule="auto"/>
              <w:ind w:firstLine="129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spacing w:val="-3"/>
                <w:sz w:val="21"/>
                <w:szCs w:val="21"/>
              </w:rPr>
              <w:t>27.5%</w:t>
            </w:r>
          </w:p>
        </w:tc>
        <w:tc>
          <w:tcPr>
            <w:tcW w:w="940" w:type="dxa"/>
            <w:tcBorders>
              <w:top w:val="single" w:color="000000" w:sz="16" w:space="0"/>
              <w:bottom w:val="single" w:color="000000" w:sz="16" w:space="0"/>
            </w:tcBorders>
            <w:vAlign w:val="top"/>
          </w:tcPr>
          <w:p>
            <w:pPr>
              <w:spacing w:before="79" w:line="180" w:lineRule="auto"/>
              <w:ind w:firstLine="125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spacing w:val="-3"/>
                <w:sz w:val="21"/>
                <w:szCs w:val="21"/>
              </w:rPr>
              <w:t>2.704</w:t>
            </w:r>
          </w:p>
          <w:p>
            <w:pPr>
              <w:spacing w:line="245" w:lineRule="auto"/>
              <w:jc w:val="both"/>
              <w:rPr>
                <w:rFonts w:hint="default" w:ascii="Times New Roman" w:hAnsi="Times New Roman" w:eastAsia="等线" w:cs="Times New Roman"/>
                <w:sz w:val="21"/>
              </w:rPr>
            </w:pPr>
          </w:p>
          <w:p>
            <w:pPr>
              <w:spacing w:before="72" w:line="180" w:lineRule="auto"/>
              <w:ind w:firstLine="123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spacing w:val="-3"/>
                <w:sz w:val="21"/>
                <w:szCs w:val="21"/>
              </w:rPr>
              <w:t>3.58</w:t>
            </w:r>
          </w:p>
        </w:tc>
        <w:tc>
          <w:tcPr>
            <w:tcW w:w="940" w:type="dxa"/>
            <w:tcBorders>
              <w:top w:val="single" w:color="000000" w:sz="16" w:space="0"/>
              <w:bottom w:val="single" w:color="000000" w:sz="16" w:space="0"/>
            </w:tcBorders>
            <w:vAlign w:val="top"/>
          </w:tcPr>
          <w:p>
            <w:pPr>
              <w:spacing w:before="79" w:line="180" w:lineRule="auto"/>
              <w:ind w:firstLine="107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spacing w:val="-3"/>
                <w:sz w:val="21"/>
                <w:szCs w:val="21"/>
              </w:rPr>
              <w:t>2.759</w:t>
            </w:r>
          </w:p>
          <w:p>
            <w:pPr>
              <w:spacing w:line="245" w:lineRule="auto"/>
              <w:jc w:val="both"/>
              <w:rPr>
                <w:rFonts w:hint="default" w:ascii="Times New Roman" w:hAnsi="Times New Roman" w:eastAsia="等线" w:cs="Times New Roman"/>
                <w:sz w:val="21"/>
              </w:rPr>
            </w:pPr>
          </w:p>
          <w:p>
            <w:pPr>
              <w:spacing w:before="72" w:line="180" w:lineRule="auto"/>
              <w:ind w:firstLine="104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spacing w:val="-3"/>
                <w:sz w:val="21"/>
                <w:szCs w:val="21"/>
              </w:rPr>
              <w:t>3.658</w:t>
            </w:r>
          </w:p>
        </w:tc>
        <w:tc>
          <w:tcPr>
            <w:tcW w:w="1045" w:type="dxa"/>
            <w:tcBorders>
              <w:top w:val="single" w:color="000000" w:sz="16" w:space="0"/>
              <w:bottom w:val="single" w:color="000000" w:sz="16" w:space="0"/>
            </w:tcBorders>
            <w:vAlign w:val="top"/>
          </w:tcPr>
          <w:p>
            <w:pPr>
              <w:spacing w:before="79" w:line="180" w:lineRule="auto"/>
              <w:ind w:firstLine="86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spacing w:val="-4"/>
                <w:sz w:val="21"/>
                <w:szCs w:val="21"/>
              </w:rPr>
              <w:t>2.67</w:t>
            </w:r>
          </w:p>
          <w:p>
            <w:pPr>
              <w:spacing w:line="245" w:lineRule="auto"/>
              <w:jc w:val="both"/>
              <w:rPr>
                <w:rFonts w:hint="default" w:ascii="Times New Roman" w:hAnsi="Times New Roman" w:eastAsia="等线" w:cs="Times New Roman"/>
                <w:sz w:val="21"/>
              </w:rPr>
            </w:pPr>
          </w:p>
          <w:p>
            <w:pPr>
              <w:spacing w:before="72" w:line="180" w:lineRule="auto"/>
              <w:ind w:firstLine="84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sz w:val="21"/>
                <w:szCs w:val="21"/>
              </w:rPr>
              <w:t>36.5</w:t>
            </w:r>
          </w:p>
        </w:tc>
        <w:tc>
          <w:tcPr>
            <w:tcW w:w="1181" w:type="dxa"/>
            <w:tcBorders>
              <w:top w:val="single" w:color="000000" w:sz="16" w:space="0"/>
              <w:bottom w:val="single" w:color="000000" w:sz="16" w:space="0"/>
            </w:tcBorders>
            <w:vAlign w:val="top"/>
          </w:tcPr>
          <w:p>
            <w:pPr>
              <w:spacing w:before="41" w:line="578" w:lineRule="exact"/>
              <w:ind w:firstLine="100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spacing w:val="-3"/>
                <w:position w:val="28"/>
                <w:sz w:val="21"/>
                <w:szCs w:val="21"/>
              </w:rPr>
              <w:t>53.44%</w:t>
            </w:r>
          </w:p>
          <w:p>
            <w:pPr>
              <w:spacing w:line="204" w:lineRule="auto"/>
              <w:ind w:firstLine="100"/>
              <w:jc w:val="both"/>
              <w:rPr>
                <w:rFonts w:hint="default" w:ascii="Times New Roman" w:hAnsi="Times New Roman" w:eastAsia="等线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等线" w:cs="Times New Roman"/>
                <w:spacing w:val="-3"/>
                <w:sz w:val="21"/>
                <w:szCs w:val="21"/>
              </w:rPr>
              <w:t>54.9%</w:t>
            </w:r>
          </w:p>
        </w:tc>
      </w:tr>
    </w:tbl>
    <w:p>
      <w:pPr>
        <w:spacing w:line="245" w:lineRule="auto"/>
        <w:jc w:val="both"/>
        <w:rPr>
          <w:rFonts w:hint="default" w:ascii="Times New Roman" w:hAnsi="Times New Roman" w:eastAsia="等线" w:cs="Times New Roman"/>
          <w:sz w:val="21"/>
        </w:rPr>
      </w:pPr>
    </w:p>
    <w:p>
      <w:pPr>
        <w:spacing w:before="71" w:line="316" w:lineRule="auto"/>
        <w:ind w:left="23" w:right="13" w:firstLine="417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 xml:space="preserve">Based on the calculation of the indicators, we can see that the overall performance of the PUSH Timing System on the CSI 300 is better, as evidenced by the </w:t>
      </w: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lower annualized volatility, higher Sharpe Ratio, Information Ratio and Winning Ratio.</w:t>
      </w:r>
    </w:p>
    <w:p>
      <w:pPr>
        <w:spacing w:before="139" w:line="180" w:lineRule="auto"/>
        <w:ind w:firstLine="26"/>
        <w:jc w:val="both"/>
        <w:outlineLvl w:val="0"/>
        <w:rPr>
          <w:rFonts w:hint="default" w:ascii="Times New Roman" w:hAnsi="Times New Roman" w:eastAsia="等线" w:cs="Times New Roman"/>
          <w:sz w:val="24"/>
          <w:szCs w:val="24"/>
        </w:rPr>
      </w:pPr>
      <w:r>
        <w:rPr>
          <w:rFonts w:hint="default" w:ascii="Times New Roman" w:hAnsi="Times New Roman" w:eastAsia="等线" w:cs="Times New Roman"/>
          <w:b/>
          <w:bCs/>
          <w:spacing w:val="-6"/>
          <w:sz w:val="24"/>
          <w:szCs w:val="24"/>
          <w:lang w:val="en-US" w:eastAsia="zh-CN"/>
        </w:rPr>
        <w:t>IV.</w:t>
      </w:r>
      <w:r>
        <w:rPr>
          <w:rFonts w:hint="default" w:ascii="Times New Roman" w:hAnsi="Times New Roman" w:eastAsia="等线" w:cs="Times New Roman"/>
          <w:b/>
          <w:bCs/>
          <w:spacing w:val="-6"/>
          <w:sz w:val="24"/>
          <w:szCs w:val="24"/>
        </w:rPr>
        <w:t xml:space="preserve"> hedging stock index strategy</w:t>
      </w:r>
    </w:p>
    <w:p>
      <w:pPr>
        <w:spacing w:before="273" w:line="180" w:lineRule="auto"/>
        <w:ind w:firstLine="541" w:firstLineChars="0"/>
        <w:jc w:val="both"/>
        <w:rPr>
          <w:rFonts w:hint="default" w:ascii="Times New Roman" w:hAnsi="Times New Roman" w:eastAsia="等线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等线" w:cs="Times New Roman"/>
          <w:spacing w:val="-4"/>
          <w:sz w:val="21"/>
          <w:szCs w:val="21"/>
        </w:rPr>
        <w:t>Factor selection combined with pushing the broad market timing to build a stock index hedging strategy, the broad market selection of the CSI 300, the strategy performance is as follows</w:t>
      </w:r>
      <w:r>
        <w:rPr>
          <w:rFonts w:hint="default" w:ascii="Times New Roman" w:hAnsi="Times New Roman" w:eastAsia="等线" w:cs="Times New Roman"/>
          <w:spacing w:val="-4"/>
          <w:sz w:val="21"/>
          <w:szCs w:val="21"/>
          <w:lang w:eastAsia="zh-CN"/>
        </w:rPr>
        <w:t>.</w:t>
      </w:r>
    </w:p>
    <w:p>
      <w:pPr>
        <w:spacing w:before="161" w:line="180" w:lineRule="auto"/>
        <w:ind w:firstLine="201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1744980</wp:posOffset>
            </wp:positionH>
            <wp:positionV relativeFrom="paragraph">
              <wp:posOffset>600710</wp:posOffset>
            </wp:positionV>
            <wp:extent cx="2867660" cy="1827530"/>
            <wp:effectExtent l="0" t="0" r="8890" b="1270"/>
            <wp:wrapNone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等线" w:cs="Times New Roman"/>
          <w:b/>
          <w:bCs/>
          <w:spacing w:val="-3"/>
          <w:sz w:val="21"/>
          <w:szCs w:val="21"/>
        </w:rPr>
        <w:t>Figure 4. Hedged CSI 300 Index Push Model System Backtest Results</w:t>
      </w:r>
    </w:p>
    <w:p>
      <w:pPr>
        <w:jc w:val="both"/>
        <w:rPr>
          <w:rFonts w:hint="default" w:ascii="Times New Roman" w:hAnsi="Times New Roman" w:eastAsia="等线" w:cs="Times New Roman"/>
        </w:rPr>
        <w:sectPr>
          <w:pgSz w:w="11906" w:h="16839"/>
          <w:pgMar w:top="1134" w:right="1134" w:bottom="1134" w:left="1134" w:header="0" w:footer="0" w:gutter="0"/>
          <w:cols w:space="720" w:num="1"/>
        </w:sectPr>
      </w:pPr>
    </w:p>
    <w:p>
      <w:pPr>
        <w:spacing w:before="89" w:line="180" w:lineRule="auto"/>
        <w:ind w:firstLine="1791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b/>
          <w:bCs/>
          <w:spacing w:val="-2"/>
          <w:sz w:val="21"/>
          <w:szCs w:val="21"/>
        </w:rPr>
        <w:t>Table 2. Hedged CSI 300 Index Push Model System Backtest Results</w:t>
      </w:r>
    </w:p>
    <w:p>
      <w:pPr>
        <w:spacing w:before="200" w:line="4433" w:lineRule="exact"/>
        <w:ind w:firstLine="2296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2369820" cy="281432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8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51" w:lineRule="auto"/>
        <w:jc w:val="both"/>
        <w:rPr>
          <w:rFonts w:hint="default" w:ascii="Times New Roman" w:hAnsi="Times New Roman" w:eastAsia="等线" w:cs="Times New Roman"/>
          <w:sz w:val="21"/>
        </w:rPr>
      </w:pPr>
    </w:p>
    <w:p>
      <w:pPr>
        <w:spacing w:before="71" w:line="316" w:lineRule="auto"/>
        <w:ind w:left="41" w:right="16" w:firstLine="401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 xml:space="preserve">The introduction of hedging has improved the performance of the strategy to some extent, as the hedging has reduced the </w:t>
      </w:r>
      <w:r>
        <w:rPr>
          <w:rFonts w:hint="default" w:ascii="Times New Roman" w:hAnsi="Times New Roman" w:eastAsia="等线" w:cs="Times New Roman"/>
          <w:spacing w:val="-1"/>
          <w:sz w:val="21"/>
          <w:szCs w:val="21"/>
        </w:rPr>
        <w:t xml:space="preserve">volatility and increased the information ratio, but also reduced the </w:t>
      </w: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>annualized return.</w:t>
      </w:r>
    </w:p>
    <w:p>
      <w:pPr>
        <w:spacing w:line="310" w:lineRule="auto"/>
        <w:jc w:val="both"/>
        <w:rPr>
          <w:rFonts w:hint="default" w:ascii="Times New Roman" w:hAnsi="Times New Roman" w:eastAsia="等线" w:cs="Times New Roman"/>
          <w:sz w:val="21"/>
        </w:rPr>
      </w:pPr>
    </w:p>
    <w:p>
      <w:pPr>
        <w:spacing w:before="82" w:line="180" w:lineRule="auto"/>
        <w:ind w:firstLine="31"/>
        <w:jc w:val="both"/>
        <w:outlineLvl w:val="0"/>
        <w:rPr>
          <w:rFonts w:hint="default" w:ascii="Times New Roman" w:hAnsi="Times New Roman" w:eastAsia="等线" w:cs="Times New Roman"/>
          <w:sz w:val="24"/>
          <w:szCs w:val="24"/>
        </w:rPr>
      </w:pPr>
      <w:r>
        <w:rPr>
          <w:rFonts w:hint="default" w:ascii="Times New Roman" w:hAnsi="Times New Roman" w:eastAsia="等线" w:cs="Times New Roman"/>
          <w:b/>
          <w:bCs/>
          <w:spacing w:val="-9"/>
          <w:sz w:val="24"/>
          <w:szCs w:val="24"/>
        </w:rPr>
        <w:t>V. Performance Attribution</w:t>
      </w:r>
    </w:p>
    <w:p>
      <w:pPr>
        <w:spacing w:before="210" w:line="213" w:lineRule="auto"/>
        <w:ind w:firstLine="446"/>
        <w:jc w:val="both"/>
        <w:rPr>
          <w:rFonts w:hint="default" w:ascii="Times New Roman" w:hAnsi="Times New Roman" w:eastAsia="等线" w:cs="Times New Roman"/>
          <w:sz w:val="21"/>
          <w:szCs w:val="21"/>
        </w:rPr>
      </w:pPr>
      <w:r>
        <w:rPr>
          <w:rFonts w:hint="default" w:ascii="Times New Roman" w:hAnsi="Times New Roman" w:eastAsia="等线" w:cs="Times New Roman"/>
          <w:spacing w:val="-3"/>
          <w:sz w:val="21"/>
          <w:szCs w:val="21"/>
        </w:rPr>
        <w:t>Code.</w:t>
      </w:r>
    </w:p>
    <w:p>
      <w:pPr>
        <w:spacing w:before="136" w:line="2601" w:lineRule="exact"/>
        <w:ind w:firstLine="16"/>
        <w:jc w:val="both"/>
        <w:textAlignment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drawing>
          <wp:inline distT="0" distB="0" distL="0" distR="0">
            <wp:extent cx="5269865" cy="1651635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990" cy="165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等线" w:cs="Times New Roman"/>
          <w:spacing w:val="-2"/>
          <w:sz w:val="21"/>
          <w:szCs w:val="21"/>
        </w:rPr>
      </w:pPr>
    </w:p>
    <w:p>
      <w:pPr>
        <w:ind w:firstLine="500" w:firstLineChars="0"/>
        <w:jc w:val="both"/>
        <w:rPr>
          <w:rFonts w:hint="default" w:ascii="Times New Roman" w:hAnsi="Times New Roman" w:eastAsia="等线" w:cs="Times New Roman"/>
          <w:sz w:val="21"/>
        </w:rPr>
      </w:pP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 xml:space="preserve">7.45% of the gains in the </w:t>
      </w:r>
      <w:r>
        <w:rPr>
          <w:rFonts w:hint="default" w:ascii="Times New Roman" w:hAnsi="Times New Roman" w:eastAsia="等线" w:cs="Times New Roman"/>
          <w:b/>
          <w:bCs/>
          <w:spacing w:val="-2"/>
          <w:sz w:val="21"/>
          <w:szCs w:val="21"/>
        </w:rPr>
        <w:t xml:space="preserve">hedge-push CSI 300 stock index </w:t>
      </w:r>
      <w:r>
        <w:rPr>
          <w:rFonts w:hint="default" w:ascii="Times New Roman" w:hAnsi="Times New Roman" w:eastAsia="等线" w:cs="Times New Roman"/>
          <w:spacing w:val="-2"/>
          <w:sz w:val="21"/>
          <w:szCs w:val="21"/>
        </w:rPr>
        <w:t xml:space="preserve">system came from timing trades, with the remaining gains coming from </w:t>
      </w:r>
      <w:r>
        <w:rPr>
          <w:rFonts w:hint="default" w:ascii="Times New Roman" w:hAnsi="Times New Roman" w:eastAsia="等线" w:cs="Times New Roman"/>
          <w:spacing w:val="-5"/>
          <w:sz w:val="21"/>
          <w:szCs w:val="21"/>
        </w:rPr>
        <w:t xml:space="preserve">factor </w:t>
      </w:r>
      <w:r>
        <w:rPr>
          <w:rFonts w:hint="default" w:ascii="Times New Roman" w:hAnsi="Times New Roman" w:eastAsia="等线" w:cs="Times New Roman"/>
          <w:spacing w:val="-5"/>
          <w:sz w:val="21"/>
          <w:szCs w:val="21"/>
          <w:lang w:eastAsia="zh-CN"/>
        </w:rPr>
        <w:t>selection</w:t>
      </w:r>
      <w:r>
        <w:rPr>
          <w:rFonts w:hint="default" w:ascii="Times New Roman" w:hAnsi="Times New Roman" w:eastAsia="等线" w:cs="Times New Roman"/>
          <w:spacing w:val="-5"/>
          <w:sz w:val="21"/>
          <w:szCs w:val="21"/>
        </w:rPr>
        <w:t xml:space="preserve"> trades</w:t>
      </w:r>
    </w:p>
    <w:sectPr>
      <w:pgSz w:w="11906" w:h="16839"/>
      <w:pgMar w:top="1134" w:right="1134" w:bottom="1134" w:left="1134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35E6B19"/>
    <w:rsid w:val="16A87291"/>
    <w:rsid w:val="1E2E6A27"/>
    <w:rsid w:val="28D224BA"/>
    <w:rsid w:val="2DE0617B"/>
    <w:rsid w:val="45E65D81"/>
    <w:rsid w:val="4C7E5C7D"/>
    <w:rsid w:val="4DDE201E"/>
    <w:rsid w:val="7D050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2021-11-30T11:35:00Z</dcterms:created>
  <dc:creator>雪椿羽茜</dc:creator>
  <cp:lastModifiedBy>疯一样的男子</cp:lastModifiedBy>
  <dcterms:modified xsi:type="dcterms:W3CDTF">2021-11-30T11:43:39Z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2021-11-30T11:36:03Z</vt:filetime>
  </property>
  <property fmtid="{D5CDD505-2E9C-101B-9397-08002B2CF9AE}" pid="4" name="KSOProductBuildVer">
    <vt:lpwstr>2052-11.1.0.11115</vt:lpwstr>
  </property>
  <property fmtid="{D5CDD505-2E9C-101B-9397-08002B2CF9AE}" pid="5" name="ICV">
    <vt:lpwstr>1C303AAF4E234C618ABDE5517F751933</vt:lpwstr>
  </property>
</Properties>
</file>