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19CSE304: Foundations of Data Science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Laxman K 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Roll: CB.EN.U4CSE20234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Asian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Latino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Eligible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0.26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86425" cy="1028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Storing the data in a 2d-list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933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Saving the list as Dataframe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390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Setting Index for better visualization.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invert_yaxis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9338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difference between Eligible and panels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jury_with_diffs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Eligible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371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difference between Eligible and Panels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Sum(jury_with_diffs)=0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Because the gain of the panel is exactly equal to the loss in the panel.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Abs.Difference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jury_with_diffs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49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Calculating the Abs difference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test_statistic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Abs.Difference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test_statistic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0.14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Random Sample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multinomial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1453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28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Taking Random sample with given eligibility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invert_yaxis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933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green bars are closer in size to the blue bats than the orange bars.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TVD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Eligible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Random Sample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TVD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0.00863041982105983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difference between Eligible and Random Sample is very insignificant.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simulations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simulations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Random Sample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multinomial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panel_size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table_tvd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Alameda_df_2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Eligible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Random Sample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tvd_final_df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tvd_final_df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TVD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renaming column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tvd_final_df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20288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Ran 5000 simulations containing a list of 5000*5 random entries.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tvd_final_df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Percent per unit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TVD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observed_stat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3338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percentage vs TVD shows the majority of them have a very low TVD value.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Since there is enough evidence of the Alternate hypothesis, we reject the Null hypothesis.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