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F172A"/>
          <w:sz w:val="48"/>
        </w:rPr>
        <w:t>Aequs EduTrack — Complete Platform Overview</w:t>
      </w:r>
    </w:p>
    <w:p>
      <w:pPr>
        <w:spacing w:before="0" w:after="280"/>
      </w:pPr>
      <w:r>
        <w:rPr>
          <w:rFonts w:ascii="Segoe UI" w:hAnsi="Segoe UI"/>
          <w:color w:val="475569"/>
          <w:sz w:val="22"/>
        </w:rPr>
        <w:t>Enterprise Educational CSR Management, Supply Chain Logistics &amp; Outreach Platform</w:t>
      </w:r>
    </w:p>
    <w:p>
      <w:pPr>
        <w:pStyle w:val="Heading2"/>
        <w:keepNext/>
        <w:spacing w:before="260" w:after="80"/>
      </w:pPr>
      <w:r>
        <w:rPr>
          <w:rFonts w:ascii="Segoe UI" w:hAnsi="Segoe UI"/>
          <w:b/>
          <w:color w:val="1E3A8A"/>
          <w:sz w:val="27"/>
        </w:rPr>
        <w:t>1. Executive Summary &amp; Platform Mission</w:t>
      </w:r>
    </w:p>
    <w:p>
      <w:r>
        <w:t>Aequs EduTrack is an integrated enterprise-grade educational CSR (Corporate Social Responsibility) and logistics management platform developed for the Aequs Foundation. Created to empower underprivileged students across government and partner schools in Karnataka (centered around the Belagavi industrial SEZ hub), EduTrack digitizes and unifies the entire educational assistance lifecycle.</w:t>
      </w:r>
    </w:p>
    <w:p>
      <w:r>
        <w:t>The platform bridges institutional school administration, student academic performance, warehouse supply chain logistics, corporate industrial internships, and community volunteer recruitment into a single, cohesive, role-protected web portal.</w:t>
      </w:r>
    </w:p>
    <w:tbl>
      <w:tblPr>
        <w:tblW w:type="auto" w:w="0"/>
        <w:jc w:val="center"/>
        <w:tblLook w:firstColumn="1" w:firstRow="1" w:lastColumn="0" w:lastRow="0" w:noHBand="0" w:noVBand="1" w:val="04A0"/>
        <w:tblBorders>
          <w:top w:val="single" w:sz="6" w:space="0" w:color="E2E8F0"/>
          <w:bottom w:val="single" w:sz="6" w:space="0" w:color="E2E8F0"/>
          <w:left w:val="none" w:sz="0" w:space="0" w:color="auto"/>
          <w:right w:val="none" w:sz="0" w:space="0" w:color="auto"/>
          <w:insideH w:val="single" w:sz="6" w:space="0" w:color="E2E8F0"/>
          <w:insideV w:val="none" w:sz="0" w:space="0" w:color="auto"/>
        </w:tblBorders>
      </w:tblPr>
      <w:tblGrid>
        <w:gridCol w:w="4514"/>
        <w:gridCol w:w="4514"/>
      </w:tblGrid>
      <w:tr>
        <w:tc>
          <w:tcPr>
            <w:tcW w:type="dxa" w:w="3168"/>
            <w:vAlign w:val="center"/>
            <w:tcMar>
              <w:top w:w="80" w:type="dxa"/>
              <w:bottom w:w="80" w:type="dxa"/>
              <w:left w:w="120" w:type="dxa"/>
              <w:right w:w="120" w:type="dxa"/>
            </w:tcMar>
            <w:shd w:fill="F8FAFC"/>
          </w:tcPr>
          <w:p>
            <w:pPr>
              <w:spacing w:before="20" w:after="20"/>
            </w:pPr>
            <w:r>
              <w:rPr>
                <w:rFonts w:ascii="Segoe UI" w:hAnsi="Segoe UI"/>
                <w:b/>
                <w:color w:val="0F172A"/>
                <w:sz w:val="17"/>
              </w:rPr>
              <w:t>Platform Name</w:t>
            </w:r>
          </w:p>
        </w:tc>
        <w:tc>
          <w:tcPr>
            <w:tcW w:type="dxa" w:w="5861"/>
            <w:vAlign w:val="center"/>
            <w:tcMar>
              <w:top w:w="80" w:type="dxa"/>
              <w:bottom w:w="80" w:type="dxa"/>
              <w:left w:w="120" w:type="dxa"/>
              <w:right w:w="120" w:type="dxa"/>
            </w:tcMar>
            <w:shd w:fill="F8FAFC"/>
          </w:tcPr>
          <w:p>
            <w:pPr>
              <w:spacing w:before="20" w:after="20"/>
            </w:pPr>
            <w:r>
              <w:rPr>
                <w:rFonts w:ascii="Segoe UI" w:hAnsi="Segoe UI"/>
                <w:color w:val="0F172A"/>
                <w:sz w:val="17"/>
              </w:rPr>
              <w:t>Aequs EduTrack</w:t>
            </w:r>
          </w:p>
        </w:tc>
      </w:tr>
      <w:tr>
        <w:tc>
          <w:tcPr>
            <w:tcW w:type="dxa" w:w="3168"/>
            <w:vAlign w:val="center"/>
            <w:tcMar>
              <w:top w:w="80" w:type="dxa"/>
              <w:bottom w:w="80" w:type="dxa"/>
              <w:left w:w="120" w:type="dxa"/>
              <w:right w:w="120" w:type="dxa"/>
            </w:tcMar>
            <w:shd w:fill="FFFFFF"/>
          </w:tcPr>
          <w:p>
            <w:pPr>
              <w:spacing w:before="20" w:after="20"/>
            </w:pPr>
            <w:r>
              <w:rPr>
                <w:rFonts w:ascii="Segoe UI" w:hAnsi="Segoe UI"/>
                <w:b/>
                <w:color w:val="0F172A"/>
                <w:sz w:val="17"/>
              </w:rPr>
              <w:t>Sponsor &amp; Initiative</w:t>
            </w:r>
          </w:p>
        </w:tc>
        <w:tc>
          <w:tcPr>
            <w:tcW w:type="dxa" w:w="5861"/>
            <w:vAlign w:val="center"/>
            <w:tcMar>
              <w:top w:w="80" w:type="dxa"/>
              <w:bottom w:w="80" w:type="dxa"/>
              <w:left w:w="120" w:type="dxa"/>
              <w:right w:w="120" w:type="dxa"/>
            </w:tcMar>
            <w:shd w:fill="FFFFFF"/>
          </w:tcPr>
          <w:p>
            <w:pPr>
              <w:spacing w:before="20" w:after="20"/>
            </w:pPr>
            <w:r>
              <w:rPr>
                <w:rFonts w:ascii="Segoe UI" w:hAnsi="Segoe UI"/>
                <w:color w:val="0F172A"/>
                <w:sz w:val="17"/>
              </w:rPr>
              <w:t>Aequs Foundation (Belagavi SEZ CSR Initiative)</w:t>
            </w:r>
          </w:p>
        </w:tc>
      </w:tr>
      <w:tr>
        <w:tc>
          <w:tcPr>
            <w:tcW w:type="dxa" w:w="3168"/>
            <w:vAlign w:val="center"/>
            <w:tcMar>
              <w:top w:w="80" w:type="dxa"/>
              <w:bottom w:w="80" w:type="dxa"/>
              <w:left w:w="120" w:type="dxa"/>
              <w:right w:w="120" w:type="dxa"/>
            </w:tcMar>
            <w:shd w:fill="F8FAFC"/>
          </w:tcPr>
          <w:p>
            <w:pPr>
              <w:spacing w:before="20" w:after="20"/>
            </w:pPr>
            <w:r>
              <w:rPr>
                <w:rFonts w:ascii="Segoe UI" w:hAnsi="Segoe UI"/>
                <w:b/>
                <w:color w:val="0F172A"/>
                <w:sz w:val="17"/>
              </w:rPr>
              <w:t>System Architecture</w:t>
            </w:r>
          </w:p>
        </w:tc>
        <w:tc>
          <w:tcPr>
            <w:tcW w:type="dxa" w:w="5861"/>
            <w:vAlign w:val="center"/>
            <w:tcMar>
              <w:top w:w="80" w:type="dxa"/>
              <w:bottom w:w="80" w:type="dxa"/>
              <w:left w:w="120" w:type="dxa"/>
              <w:right w:w="120" w:type="dxa"/>
            </w:tcMar>
            <w:shd w:fill="F8FAFC"/>
          </w:tcPr>
          <w:p>
            <w:pPr>
              <w:spacing w:before="20" w:after="20"/>
            </w:pPr>
            <w:r>
              <w:rPr>
                <w:rFonts w:ascii="Segoe UI" w:hAnsi="Segoe UI"/>
                <w:color w:val="0F172A"/>
                <w:sz w:val="17"/>
              </w:rPr>
              <w:t>Enterprise Django 6.1 MVT with Multi-Database Engine</w:t>
            </w:r>
          </w:p>
        </w:tc>
      </w:tr>
      <w:tr>
        <w:tc>
          <w:tcPr>
            <w:tcW w:type="dxa" w:w="3168"/>
            <w:vAlign w:val="center"/>
            <w:tcMar>
              <w:top w:w="80" w:type="dxa"/>
              <w:bottom w:w="80" w:type="dxa"/>
              <w:left w:w="120" w:type="dxa"/>
              <w:right w:w="120" w:type="dxa"/>
            </w:tcMar>
            <w:shd w:fill="FFFFFF"/>
          </w:tcPr>
          <w:p>
            <w:pPr>
              <w:spacing w:before="20" w:after="20"/>
            </w:pPr>
            <w:r>
              <w:rPr>
                <w:rFonts w:ascii="Segoe UI" w:hAnsi="Segoe UI"/>
                <w:b/>
                <w:color w:val="0F172A"/>
                <w:sz w:val="17"/>
              </w:rPr>
              <w:t>Supported Databases</w:t>
            </w:r>
          </w:p>
        </w:tc>
        <w:tc>
          <w:tcPr>
            <w:tcW w:type="dxa" w:w="5861"/>
            <w:vAlign w:val="center"/>
            <w:tcMar>
              <w:top w:w="80" w:type="dxa"/>
              <w:bottom w:w="80" w:type="dxa"/>
              <w:left w:w="120" w:type="dxa"/>
              <w:right w:w="120" w:type="dxa"/>
            </w:tcMar>
            <w:shd w:fill="FFFFFF"/>
          </w:tcPr>
          <w:p>
            <w:pPr>
              <w:spacing w:before="20" w:after="20"/>
            </w:pPr>
            <w:r>
              <w:rPr>
                <w:rFonts w:ascii="Segoe UI" w:hAnsi="Segoe UI"/>
                <w:color w:val="0F172A"/>
                <w:sz w:val="17"/>
              </w:rPr>
              <w:t>SQLite 3 (Local Dev), PostgreSQL (Cloud Production), Microsoft SQL Server (Enterprise On-Prem)</w:t>
            </w:r>
          </w:p>
        </w:tc>
      </w:tr>
      <w:tr>
        <w:tc>
          <w:tcPr>
            <w:tcW w:type="dxa" w:w="3168"/>
            <w:vAlign w:val="center"/>
            <w:tcMar>
              <w:top w:w="80" w:type="dxa"/>
              <w:bottom w:w="80" w:type="dxa"/>
              <w:left w:w="120" w:type="dxa"/>
              <w:right w:w="120" w:type="dxa"/>
            </w:tcMar>
            <w:shd w:fill="F8FAFC"/>
          </w:tcPr>
          <w:p>
            <w:pPr>
              <w:spacing w:before="20" w:after="20"/>
            </w:pPr>
            <w:r>
              <w:rPr>
                <w:rFonts w:ascii="Segoe UI" w:hAnsi="Segoe UI"/>
                <w:b/>
                <w:color w:val="0F172A"/>
                <w:sz w:val="17"/>
              </w:rPr>
              <w:t>Security &amp; Access</w:t>
            </w:r>
          </w:p>
        </w:tc>
        <w:tc>
          <w:tcPr>
            <w:tcW w:type="dxa" w:w="5861"/>
            <w:vAlign w:val="center"/>
            <w:tcMar>
              <w:top w:w="80" w:type="dxa"/>
              <w:bottom w:w="80" w:type="dxa"/>
              <w:left w:w="120" w:type="dxa"/>
              <w:right w:w="120" w:type="dxa"/>
            </w:tcMar>
            <w:shd w:fill="F8FAFC"/>
          </w:tcPr>
          <w:p>
            <w:pPr>
              <w:spacing w:before="20" w:after="20"/>
            </w:pPr>
            <w:r>
              <w:rPr>
                <w:rFonts w:ascii="Segoe UI" w:hAnsi="Segoe UI"/>
                <w:color w:val="0F172A"/>
                <w:sz w:val="17"/>
              </w:rPr>
              <w:t>Role-Based Access Control (5 Custom Roles), Session Guards, Atomic Transactions</w:t>
            </w:r>
          </w:p>
        </w:tc>
      </w:tr>
      <w:tr>
        <w:tc>
          <w:tcPr>
            <w:tcW w:type="dxa" w:w="3168"/>
            <w:vAlign w:val="center"/>
            <w:tcMar>
              <w:top w:w="80" w:type="dxa"/>
              <w:bottom w:w="80" w:type="dxa"/>
              <w:left w:w="120" w:type="dxa"/>
              <w:right w:w="120" w:type="dxa"/>
            </w:tcMar>
            <w:shd w:fill="FFFFFF"/>
          </w:tcPr>
          <w:p>
            <w:pPr>
              <w:spacing w:before="20" w:after="20"/>
            </w:pPr>
            <w:r>
              <w:rPr>
                <w:rFonts w:ascii="Segoe UI" w:hAnsi="Segoe UI"/>
                <w:b/>
                <w:color w:val="0F172A"/>
                <w:sz w:val="17"/>
              </w:rPr>
              <w:t>Operational Portals</w:t>
            </w:r>
          </w:p>
        </w:tc>
        <w:tc>
          <w:tcPr>
            <w:tcW w:type="dxa" w:w="5861"/>
            <w:vAlign w:val="center"/>
            <w:tcMar>
              <w:top w:w="80" w:type="dxa"/>
              <w:bottom w:w="80" w:type="dxa"/>
              <w:left w:w="120" w:type="dxa"/>
              <w:right w:w="120" w:type="dxa"/>
            </w:tcMar>
            <w:shd w:fill="FFFFFF"/>
          </w:tcPr>
          <w:p>
            <w:pPr>
              <w:spacing w:before="20" w:after="20"/>
            </w:pPr>
            <w:r>
              <w:rPr>
                <w:rFonts w:ascii="Segoe UI" w:hAnsi="Segoe UI"/>
                <w:color w:val="0F172A"/>
                <w:sz w:val="17"/>
              </w:rPr>
              <w:t>Executive Dashboard, Schools, Students, Academics, Eligibility, Inventory, Internships, Volunteers, Reports</w:t>
            </w:r>
          </w:p>
        </w:tc>
      </w:tr>
      <w:tr>
        <w:tc>
          <w:tcPr>
            <w:tcW w:type="dxa" w:w="3168"/>
            <w:vAlign w:val="center"/>
            <w:tcMar>
              <w:top w:w="80" w:type="dxa"/>
              <w:bottom w:w="80" w:type="dxa"/>
              <w:left w:w="120" w:type="dxa"/>
              <w:right w:w="120" w:type="dxa"/>
            </w:tcMar>
            <w:shd w:fill="F8FAFC"/>
          </w:tcPr>
          <w:p>
            <w:pPr>
              <w:spacing w:before="20" w:after="20"/>
            </w:pPr>
            <w:r>
              <w:rPr>
                <w:rFonts w:ascii="Segoe UI" w:hAnsi="Segoe UI"/>
                <w:b/>
                <w:color w:val="0F172A"/>
                <w:sz w:val="17"/>
              </w:rPr>
              <w:t>Quality &amp; Verification</w:t>
            </w:r>
          </w:p>
        </w:tc>
        <w:tc>
          <w:tcPr>
            <w:tcW w:type="dxa" w:w="5861"/>
            <w:vAlign w:val="center"/>
            <w:tcMar>
              <w:top w:w="80" w:type="dxa"/>
              <w:bottom w:w="80" w:type="dxa"/>
              <w:left w:w="120" w:type="dxa"/>
              <w:right w:w="120" w:type="dxa"/>
            </w:tcMar>
            <w:shd w:fill="F8FAFC"/>
          </w:tcPr>
          <w:p>
            <w:pPr>
              <w:spacing w:before="20" w:after="20"/>
            </w:pPr>
            <w:r>
              <w:rPr>
                <w:rFonts w:ascii="Segoe UI" w:hAnsi="Segoe UI"/>
                <w:color w:val="0F172A"/>
                <w:sz w:val="17"/>
              </w:rPr>
              <w:t>78 Automated Test Cases (100% Passing in 5.6s), 0 Django System Check Warnings</w:t>
            </w:r>
          </w:p>
        </w:tc>
      </w:tr>
      <w:tr>
        <w:tc>
          <w:tcPr>
            <w:tcW w:type="dxa" w:w="3168"/>
            <w:vAlign w:val="center"/>
            <w:tcMar>
              <w:top w:w="80" w:type="dxa"/>
              <w:bottom w:w="80" w:type="dxa"/>
              <w:left w:w="120" w:type="dxa"/>
              <w:right w:w="120" w:type="dxa"/>
            </w:tcMar>
            <w:shd w:fill="FFFFFF"/>
          </w:tcPr>
          <w:p>
            <w:pPr>
              <w:spacing w:before="20" w:after="20"/>
            </w:pPr>
            <w:r>
              <w:rPr>
                <w:rFonts w:ascii="Segoe UI" w:hAnsi="Segoe UI"/>
                <w:b/>
                <w:color w:val="0F172A"/>
                <w:sz w:val="17"/>
              </w:rPr>
              <w:t>Codebase Optimization</w:t>
            </w:r>
          </w:p>
        </w:tc>
        <w:tc>
          <w:tcPr>
            <w:tcW w:type="dxa" w:w="5861"/>
            <w:vAlign w:val="center"/>
            <w:tcMar>
              <w:top w:w="80" w:type="dxa"/>
              <w:bottom w:w="80" w:type="dxa"/>
              <w:left w:w="120" w:type="dxa"/>
              <w:right w:w="120" w:type="dxa"/>
            </w:tcMar>
            <w:shd w:fill="FFFFFF"/>
          </w:tcPr>
          <w:p>
            <w:pPr>
              <w:spacing w:before="20" w:after="20"/>
            </w:pPr>
            <w:r>
              <w:rPr>
                <w:rFonts w:ascii="Segoe UI" w:hAnsi="Segoe UI"/>
                <w:color w:val="0F172A"/>
                <w:sz w:val="17"/>
              </w:rPr>
              <w:t>Purged 52 Legacy Backup Files (-29,811 Lines of Dead Code), Zero Dep Bloat</w:t>
            </w:r>
          </w:p>
        </w:tc>
      </w:tr>
    </w:tbl>
    <w:p>
      <w:pPr>
        <w:spacing w:after="200"/>
      </w:pPr>
    </w:p>
    <w:p>
      <w:pPr>
        <w:pStyle w:val="Heading2"/>
        <w:keepNext/>
        <w:spacing w:before="260" w:after="80"/>
      </w:pPr>
      <w:r>
        <w:rPr>
          <w:rFonts w:ascii="Segoe UI" w:hAnsi="Segoe UI"/>
          <w:b/>
          <w:color w:val="1E3A8A"/>
          <w:sz w:val="27"/>
        </w:rPr>
        <w:t>2. System Architecture &amp; Technology Stack</w:t>
      </w:r>
    </w:p>
    <w:p>
      <w:r>
        <w:t>EduTrack enforces a clean separation of concerns using Django's Model-View-Template pattern, zero-framework lightweight frontend rendering, and enterprise database flexibility:</w:t>
      </w:r>
    </w:p>
    <w:tbl>
      <w:tblPr>
        <w:tblW w:type="auto" w:w="0"/>
        <w:jc w:val="center"/>
        <w:tblLook w:firstColumn="1" w:firstRow="1" w:lastColumn="0" w:lastRow="0" w:noHBand="0" w:noVBand="1" w:val="04A0"/>
        <w:tblBorders>
          <w:top w:val="single" w:sz="4" w:space="0" w:color="E2E8F0"/>
          <w:bottom w:val="single" w:sz="4" w:space="0" w:color="E2E8F0"/>
          <w:left w:val="none" w:sz="0" w:space="0" w:color="auto"/>
          <w:right w:val="none" w:sz="0" w:space="0" w:color="auto"/>
          <w:insideH w:val="single" w:sz="4" w:space="0" w:color="E2E8F0"/>
          <w:insideV w:val="none" w:sz="0" w:space="0" w:color="auto"/>
        </w:tblBorders>
      </w:tblPr>
      <w:tblGrid>
        <w:gridCol w:w="3010"/>
        <w:gridCol w:w="3010"/>
        <w:gridCol w:w="3010"/>
      </w:tblGrid>
      <w:tr>
        <w:tc>
          <w:tcPr>
            <w:tcW w:type="dxa" w:w="2592"/>
            <w:vAlign w:val="center"/>
            <w:tcMar>
              <w:top w:w="80" w:type="dxa"/>
              <w:bottom w:w="80" w:type="dxa"/>
              <w:left w:w="120" w:type="dxa"/>
              <w:right w:w="120" w:type="dxa"/>
            </w:tcMar>
            <w:shd w:fill="1E3A8A"/>
          </w:tcPr>
          <w:p>
            <w:pPr>
              <w:spacing w:before="20" w:after="20"/>
            </w:pPr>
            <w:r>
              <w:rPr>
                <w:rFonts w:ascii="Segoe UI" w:hAnsi="Segoe UI"/>
                <w:b/>
                <w:color w:val="FFFFFF"/>
                <w:sz w:val="17"/>
              </w:rPr>
              <w:t>Architectural Layer</w:t>
            </w:r>
          </w:p>
        </w:tc>
        <w:tc>
          <w:tcPr>
            <w:tcW w:type="dxa" w:w="2592"/>
            <w:vAlign w:val="center"/>
            <w:tcMar>
              <w:top w:w="80" w:type="dxa"/>
              <w:bottom w:w="80" w:type="dxa"/>
              <w:left w:w="120" w:type="dxa"/>
              <w:right w:w="120" w:type="dxa"/>
            </w:tcMar>
            <w:shd w:fill="1E3A8A"/>
          </w:tcPr>
          <w:p>
            <w:pPr>
              <w:spacing w:before="20" w:after="20"/>
            </w:pPr>
            <w:r>
              <w:rPr>
                <w:rFonts w:ascii="Segoe UI" w:hAnsi="Segoe UI"/>
                <w:b/>
                <w:color w:val="FFFFFF"/>
                <w:sz w:val="17"/>
              </w:rPr>
              <w:t>Technology Stack</w:t>
            </w:r>
          </w:p>
        </w:tc>
        <w:tc>
          <w:tcPr>
            <w:tcW w:type="dxa" w:w="3845"/>
            <w:vAlign w:val="center"/>
            <w:tcMar>
              <w:top w:w="80" w:type="dxa"/>
              <w:bottom w:w="80" w:type="dxa"/>
              <w:left w:w="120" w:type="dxa"/>
              <w:right w:w="120" w:type="dxa"/>
            </w:tcMar>
            <w:shd w:fill="1E3A8A"/>
          </w:tcPr>
          <w:p>
            <w:pPr>
              <w:spacing w:before="20" w:after="20"/>
            </w:pPr>
            <w:r>
              <w:rPr>
                <w:rFonts w:ascii="Segoe UI" w:hAnsi="Segoe UI"/>
                <w:b/>
                <w:color w:val="FFFFFF"/>
                <w:sz w:val="17"/>
              </w:rPr>
              <w:t>Implementation Role &amp; Purpose</w:t>
            </w:r>
          </w:p>
        </w:tc>
      </w:tr>
      <w:tr>
        <w:tc>
          <w:tcPr>
            <w:tcW w:type="dxa" w:w="2592"/>
            <w:vAlign w:val="center"/>
            <w:tcMar>
              <w:top w:w="80" w:type="dxa"/>
              <w:bottom w:w="80" w:type="dxa"/>
              <w:left w:w="120" w:type="dxa"/>
              <w:right w:w="120" w:type="dxa"/>
            </w:tcMar>
            <w:shd w:fill="F8FAFC"/>
          </w:tcPr>
          <w:p>
            <w:pPr>
              <w:spacing w:before="20" w:after="20"/>
            </w:pPr>
            <w:r>
              <w:rPr>
                <w:rFonts w:ascii="Segoe UI" w:hAnsi="Segoe UI"/>
                <w:b/>
                <w:color w:val="0F172A"/>
                <w:sz w:val="16"/>
              </w:rPr>
              <w:t>Backend MVC Core</w:t>
            </w:r>
          </w:p>
        </w:tc>
        <w:tc>
          <w:tcPr>
            <w:tcW w:type="dxa" w:w="2592"/>
            <w:vAlign w:val="center"/>
            <w:tcMar>
              <w:top w:w="80" w:type="dxa"/>
              <w:bottom w:w="80" w:type="dxa"/>
              <w:left w:w="120" w:type="dxa"/>
              <w:right w:w="120" w:type="dxa"/>
            </w:tcMar>
            <w:shd w:fill="F8FAFC"/>
          </w:tcPr>
          <w:p>
            <w:pPr>
              <w:spacing w:before="20" w:after="20"/>
            </w:pPr>
            <w:r>
              <w:rPr>
                <w:rFonts w:ascii="Segoe UI" w:hAnsi="Segoe UI"/>
                <w:color w:val="0F172A"/>
                <w:sz w:val="16"/>
              </w:rPr>
              <w:t>Python 3.14, Django 6.1</w:t>
            </w:r>
          </w:p>
        </w:tc>
        <w:tc>
          <w:tcPr>
            <w:tcW w:type="dxa" w:w="3845"/>
            <w:vAlign w:val="center"/>
            <w:tcMar>
              <w:top w:w="80" w:type="dxa"/>
              <w:bottom w:w="80" w:type="dxa"/>
              <w:left w:w="120" w:type="dxa"/>
              <w:right w:w="120" w:type="dxa"/>
            </w:tcMar>
            <w:shd w:fill="F8FAFC"/>
          </w:tcPr>
          <w:p>
            <w:pPr>
              <w:spacing w:before="20" w:after="20"/>
            </w:pPr>
            <w:r>
              <w:rPr>
                <w:rFonts w:ascii="Segoe UI" w:hAnsi="Segoe UI"/>
                <w:color w:val="0F172A"/>
                <w:sz w:val="16"/>
              </w:rPr>
              <w:t>Core framework, ORM with atomic transactions, URL dispatcher, CSRF security</w:t>
            </w:r>
          </w:p>
        </w:tc>
      </w:tr>
      <w:tr>
        <w:tc>
          <w:tcPr>
            <w:tcW w:type="dxa" w:w="2592"/>
            <w:vAlign w:val="center"/>
            <w:tcMar>
              <w:top w:w="80" w:type="dxa"/>
              <w:bottom w:w="80" w:type="dxa"/>
              <w:left w:w="120" w:type="dxa"/>
              <w:right w:w="120" w:type="dxa"/>
            </w:tcMar>
            <w:shd w:fill="FFFFFF"/>
          </w:tcPr>
          <w:p>
            <w:pPr>
              <w:spacing w:before="20" w:after="20"/>
            </w:pPr>
            <w:r>
              <w:rPr>
                <w:rFonts w:ascii="Segoe UI" w:hAnsi="Segoe UI"/>
                <w:b/>
                <w:color w:val="0F172A"/>
                <w:sz w:val="16"/>
              </w:rPr>
              <w:t>Frontend Presentation</w:t>
            </w:r>
          </w:p>
        </w:tc>
        <w:tc>
          <w:tcPr>
            <w:tcW w:type="dxa" w:w="2592"/>
            <w:vAlign w:val="center"/>
            <w:tcMar>
              <w:top w:w="80" w:type="dxa"/>
              <w:bottom w:w="80" w:type="dxa"/>
              <w:left w:w="120" w:type="dxa"/>
              <w:right w:w="120" w:type="dxa"/>
            </w:tcMar>
            <w:shd w:fill="FFFFFF"/>
          </w:tcPr>
          <w:p>
            <w:pPr>
              <w:spacing w:before="20" w:after="20"/>
            </w:pPr>
            <w:r>
              <w:rPr>
                <w:rFonts w:ascii="Segoe UI" w:hAnsi="Segoe UI"/>
                <w:color w:val="0F172A"/>
                <w:sz w:val="16"/>
              </w:rPr>
              <w:t>Semantic HTML5, Vanilla CSS</w:t>
            </w:r>
          </w:p>
        </w:tc>
        <w:tc>
          <w:tcPr>
            <w:tcW w:type="dxa" w:w="3845"/>
            <w:vAlign w:val="center"/>
            <w:tcMar>
              <w:top w:w="80" w:type="dxa"/>
              <w:bottom w:w="80" w:type="dxa"/>
              <w:left w:w="120" w:type="dxa"/>
              <w:right w:w="120" w:type="dxa"/>
            </w:tcMar>
            <w:shd w:fill="FFFFFF"/>
          </w:tcPr>
          <w:p>
            <w:pPr>
              <w:spacing w:before="20" w:after="20"/>
            </w:pPr>
            <w:r>
              <w:rPr>
                <w:rFonts w:ascii="Segoe UI" w:hAnsi="Segoe UI"/>
                <w:color w:val="0F172A"/>
                <w:sz w:val="16"/>
              </w:rPr>
              <w:t>Custom design system, CSS design tokens, responsive grid layouts, zero JS framework bloat</w:t>
            </w:r>
          </w:p>
        </w:tc>
      </w:tr>
      <w:tr>
        <w:tc>
          <w:tcPr>
            <w:tcW w:type="dxa" w:w="2592"/>
            <w:vAlign w:val="center"/>
            <w:tcMar>
              <w:top w:w="80" w:type="dxa"/>
              <w:bottom w:w="80" w:type="dxa"/>
              <w:left w:w="120" w:type="dxa"/>
              <w:right w:w="120" w:type="dxa"/>
            </w:tcMar>
            <w:shd w:fill="F8FAFC"/>
          </w:tcPr>
          <w:p>
            <w:pPr>
              <w:spacing w:before="20" w:after="20"/>
            </w:pPr>
            <w:r>
              <w:rPr>
                <w:rFonts w:ascii="Segoe UI" w:hAnsi="Segoe UI"/>
                <w:b/>
                <w:color w:val="0F172A"/>
                <w:sz w:val="16"/>
              </w:rPr>
              <w:t>Design System</w:t>
            </w:r>
          </w:p>
        </w:tc>
        <w:tc>
          <w:tcPr>
            <w:tcW w:type="dxa" w:w="2592"/>
            <w:vAlign w:val="center"/>
            <w:tcMar>
              <w:top w:w="80" w:type="dxa"/>
              <w:bottom w:w="80" w:type="dxa"/>
              <w:left w:w="120" w:type="dxa"/>
              <w:right w:w="120" w:type="dxa"/>
            </w:tcMar>
            <w:shd w:fill="F8FAFC"/>
          </w:tcPr>
          <w:p>
            <w:pPr>
              <w:spacing w:before="20" w:after="20"/>
            </w:pPr>
            <w:r>
              <w:rPr>
                <w:rFonts w:ascii="Segoe UI" w:hAnsi="Segoe UI"/>
                <w:color w:val="0F172A"/>
                <w:sz w:val="16"/>
              </w:rPr>
              <w:t>Aequs Royal Blue, Slate</w:t>
            </w:r>
          </w:p>
        </w:tc>
        <w:tc>
          <w:tcPr>
            <w:tcW w:type="dxa" w:w="3845"/>
            <w:vAlign w:val="center"/>
            <w:tcMar>
              <w:top w:w="80" w:type="dxa"/>
              <w:bottom w:w="80" w:type="dxa"/>
              <w:left w:w="120" w:type="dxa"/>
              <w:right w:w="120" w:type="dxa"/>
            </w:tcMar>
            <w:shd w:fill="F8FAFC"/>
          </w:tcPr>
          <w:p>
            <w:pPr>
              <w:spacing w:before="20" w:after="20"/>
            </w:pPr>
            <w:r>
              <w:rPr>
                <w:rFonts w:ascii="Segoe UI" w:hAnsi="Segoe UI"/>
                <w:color w:val="0F172A"/>
                <w:sz w:val="16"/>
              </w:rPr>
              <w:t>Aequs branded royal blue (#1E3A8A / #2563EB) paired with modern shadcn card aesthetics</w:t>
            </w:r>
          </w:p>
        </w:tc>
      </w:tr>
      <w:tr>
        <w:tc>
          <w:tcPr>
            <w:tcW w:type="dxa" w:w="2592"/>
            <w:vAlign w:val="center"/>
            <w:tcMar>
              <w:top w:w="80" w:type="dxa"/>
              <w:bottom w:w="80" w:type="dxa"/>
              <w:left w:w="120" w:type="dxa"/>
              <w:right w:w="120" w:type="dxa"/>
            </w:tcMar>
            <w:shd w:fill="FFFFFF"/>
          </w:tcPr>
          <w:p>
            <w:pPr>
              <w:spacing w:before="20" w:after="20"/>
            </w:pPr>
            <w:r>
              <w:rPr>
                <w:rFonts w:ascii="Segoe UI" w:hAnsi="Segoe UI"/>
                <w:b/>
                <w:color w:val="0F172A"/>
                <w:sz w:val="16"/>
              </w:rPr>
              <w:t>Vector Icons &amp; Fonts</w:t>
            </w:r>
          </w:p>
        </w:tc>
        <w:tc>
          <w:tcPr>
            <w:tcW w:type="dxa" w:w="2592"/>
            <w:vAlign w:val="center"/>
            <w:tcMar>
              <w:top w:w="80" w:type="dxa"/>
              <w:bottom w:w="80" w:type="dxa"/>
              <w:left w:w="120" w:type="dxa"/>
              <w:right w:w="120" w:type="dxa"/>
            </w:tcMar>
            <w:shd w:fill="FFFFFF"/>
          </w:tcPr>
          <w:p>
            <w:pPr>
              <w:spacing w:before="20" w:after="20"/>
            </w:pPr>
            <w:r>
              <w:rPr>
                <w:rFonts w:ascii="Segoe UI" w:hAnsi="Segoe UI"/>
                <w:color w:val="0F172A"/>
                <w:sz w:val="16"/>
              </w:rPr>
              <w:t>Lucide Icons, Segoe UI</w:t>
            </w:r>
          </w:p>
        </w:tc>
        <w:tc>
          <w:tcPr>
            <w:tcW w:type="dxa" w:w="3845"/>
            <w:vAlign w:val="center"/>
            <w:tcMar>
              <w:top w:w="80" w:type="dxa"/>
              <w:bottom w:w="80" w:type="dxa"/>
              <w:left w:w="120" w:type="dxa"/>
              <w:right w:w="120" w:type="dxa"/>
            </w:tcMar>
            <w:shd w:fill="FFFFFF"/>
          </w:tcPr>
          <w:p>
            <w:pPr>
              <w:spacing w:before="20" w:after="20"/>
            </w:pPr>
            <w:r>
              <w:rPr>
                <w:rFonts w:ascii="Segoe UI" w:hAnsi="Segoe UI"/>
                <w:color w:val="0F172A"/>
                <w:sz w:val="16"/>
              </w:rPr>
              <w:t>Modern scalable SVG icon library delivered via CDN, crisp typography with locked compact scale</w:t>
            </w:r>
          </w:p>
        </w:tc>
      </w:tr>
      <w:tr>
        <w:tc>
          <w:tcPr>
            <w:tcW w:type="dxa" w:w="2592"/>
            <w:vAlign w:val="center"/>
            <w:tcMar>
              <w:top w:w="80" w:type="dxa"/>
              <w:bottom w:w="80" w:type="dxa"/>
              <w:left w:w="120" w:type="dxa"/>
              <w:right w:w="120" w:type="dxa"/>
            </w:tcMar>
            <w:shd w:fill="F8FAFC"/>
          </w:tcPr>
          <w:p>
            <w:pPr>
              <w:spacing w:before="20" w:after="20"/>
            </w:pPr>
            <w:r>
              <w:rPr>
                <w:rFonts w:ascii="Segoe UI" w:hAnsi="Segoe UI"/>
                <w:b/>
                <w:color w:val="0F172A"/>
                <w:sz w:val="16"/>
              </w:rPr>
              <w:t>Multi-Database Tier</w:t>
            </w:r>
          </w:p>
        </w:tc>
        <w:tc>
          <w:tcPr>
            <w:tcW w:type="dxa" w:w="2592"/>
            <w:vAlign w:val="center"/>
            <w:tcMar>
              <w:top w:w="80" w:type="dxa"/>
              <w:bottom w:w="80" w:type="dxa"/>
              <w:left w:w="120" w:type="dxa"/>
              <w:right w:w="120" w:type="dxa"/>
            </w:tcMar>
            <w:shd w:fill="F8FAFC"/>
          </w:tcPr>
          <w:p>
            <w:pPr>
              <w:spacing w:before="20" w:after="20"/>
            </w:pPr>
            <w:r>
              <w:rPr>
                <w:rFonts w:ascii="Segoe UI" w:hAnsi="Segoe UI"/>
                <w:color w:val="0F172A"/>
                <w:sz w:val="16"/>
              </w:rPr>
              <w:t>PostgreSQL, MSSQL, SQLite</w:t>
            </w:r>
          </w:p>
        </w:tc>
        <w:tc>
          <w:tcPr>
            <w:tcW w:type="dxa" w:w="3845"/>
            <w:vAlign w:val="center"/>
            <w:tcMar>
              <w:top w:w="80" w:type="dxa"/>
              <w:bottom w:w="80" w:type="dxa"/>
              <w:left w:w="120" w:type="dxa"/>
              <w:right w:w="120" w:type="dxa"/>
            </w:tcMar>
            <w:shd w:fill="F8FAFC"/>
          </w:tcPr>
          <w:p>
            <w:pPr>
              <w:spacing w:before="20" w:after="20"/>
            </w:pPr>
            <w:r>
              <w:rPr>
                <w:rFonts w:ascii="Segoe UI" w:hAnsi="Segoe UI"/>
                <w:color w:val="0F172A"/>
                <w:sz w:val="16"/>
              </w:rPr>
              <w:t>Cloud production on PostgreSQL (Render), enterprise on-prem via ODBC (SQLEXPRESS), local SQLite</w:t>
            </w:r>
          </w:p>
        </w:tc>
      </w:tr>
      <w:tr>
        <w:tc>
          <w:tcPr>
            <w:tcW w:type="dxa" w:w="2592"/>
            <w:vAlign w:val="center"/>
            <w:tcMar>
              <w:top w:w="80" w:type="dxa"/>
              <w:bottom w:w="80" w:type="dxa"/>
              <w:left w:w="120" w:type="dxa"/>
              <w:right w:w="120" w:type="dxa"/>
            </w:tcMar>
            <w:shd w:fill="FFFFFF"/>
          </w:tcPr>
          <w:p>
            <w:pPr>
              <w:spacing w:before="20" w:after="20"/>
            </w:pPr>
            <w:r>
              <w:rPr>
                <w:rFonts w:ascii="Segoe UI" w:hAnsi="Segoe UI"/>
                <w:b/>
                <w:color w:val="0F172A"/>
                <w:sz w:val="16"/>
              </w:rPr>
              <w:t>File &amp; Asset Pipelines</w:t>
            </w:r>
          </w:p>
        </w:tc>
        <w:tc>
          <w:tcPr>
            <w:tcW w:type="dxa" w:w="2592"/>
            <w:vAlign w:val="center"/>
            <w:tcMar>
              <w:top w:w="80" w:type="dxa"/>
              <w:bottom w:w="80" w:type="dxa"/>
              <w:left w:w="120" w:type="dxa"/>
              <w:right w:w="120" w:type="dxa"/>
            </w:tcMar>
            <w:shd w:fill="FFFFFF"/>
          </w:tcPr>
          <w:p>
            <w:pPr>
              <w:spacing w:before="20" w:after="20"/>
            </w:pPr>
            <w:r>
              <w:rPr>
                <w:rFonts w:ascii="Segoe UI" w:hAnsi="Segoe UI"/>
                <w:color w:val="0F172A"/>
                <w:sz w:val="16"/>
              </w:rPr>
              <w:t>Pillow, openpyxl, qrcode</w:t>
            </w:r>
          </w:p>
        </w:tc>
        <w:tc>
          <w:tcPr>
            <w:tcW w:type="dxa" w:w="3845"/>
            <w:vAlign w:val="center"/>
            <w:tcMar>
              <w:top w:w="80" w:type="dxa"/>
              <w:bottom w:w="80" w:type="dxa"/>
              <w:left w:w="120" w:type="dxa"/>
              <w:right w:w="120" w:type="dxa"/>
            </w:tcMar>
            <w:shd w:fill="FFFFFF"/>
          </w:tcPr>
          <w:p>
            <w:pPr>
              <w:spacing w:before="20" w:after="20"/>
            </w:pPr>
            <w:r>
              <w:rPr>
                <w:rFonts w:ascii="Segoe UI" w:hAnsi="Segoe UI"/>
                <w:color w:val="0F172A"/>
                <w:sz w:val="16"/>
              </w:rPr>
              <w:t>Student photo uploads, automated Excel roster exports, live PNG QR generation with Reed-Solomon Level H</w:t>
            </w:r>
          </w:p>
        </w:tc>
      </w:tr>
      <w:tr>
        <w:tc>
          <w:tcPr>
            <w:tcW w:type="dxa" w:w="2592"/>
            <w:vAlign w:val="center"/>
            <w:tcMar>
              <w:top w:w="80" w:type="dxa"/>
              <w:bottom w:w="80" w:type="dxa"/>
              <w:left w:w="120" w:type="dxa"/>
              <w:right w:w="120" w:type="dxa"/>
            </w:tcMar>
            <w:shd w:fill="F8FAFC"/>
          </w:tcPr>
          <w:p>
            <w:pPr>
              <w:spacing w:before="20" w:after="20"/>
            </w:pPr>
            <w:r>
              <w:rPr>
                <w:rFonts w:ascii="Segoe UI" w:hAnsi="Segoe UI"/>
                <w:b/>
                <w:color w:val="0F172A"/>
                <w:sz w:val="16"/>
              </w:rPr>
              <w:t>Production Deployment</w:t>
            </w:r>
          </w:p>
        </w:tc>
        <w:tc>
          <w:tcPr>
            <w:tcW w:type="dxa" w:w="2592"/>
            <w:vAlign w:val="center"/>
            <w:tcMar>
              <w:top w:w="80" w:type="dxa"/>
              <w:bottom w:w="80" w:type="dxa"/>
              <w:left w:w="120" w:type="dxa"/>
              <w:right w:w="120" w:type="dxa"/>
            </w:tcMar>
            <w:shd w:fill="F8FAFC"/>
          </w:tcPr>
          <w:p>
            <w:pPr>
              <w:spacing w:before="20" w:after="20"/>
            </w:pPr>
            <w:r>
              <w:rPr>
                <w:rFonts w:ascii="Segoe UI" w:hAnsi="Segoe UI"/>
                <w:color w:val="0F172A"/>
                <w:sz w:val="16"/>
              </w:rPr>
              <w:t>Docker, Whitenoise, Gunicorn</w:t>
            </w:r>
          </w:p>
        </w:tc>
        <w:tc>
          <w:tcPr>
            <w:tcW w:type="dxa" w:w="3845"/>
            <w:vAlign w:val="center"/>
            <w:tcMar>
              <w:top w:w="80" w:type="dxa"/>
              <w:bottom w:w="80" w:type="dxa"/>
              <w:left w:w="120" w:type="dxa"/>
              <w:right w:w="120" w:type="dxa"/>
            </w:tcMar>
            <w:shd w:fill="F8FAFC"/>
          </w:tcPr>
          <w:p>
            <w:pPr>
              <w:spacing w:before="20" w:after="20"/>
            </w:pPr>
            <w:r>
              <w:rPr>
                <w:rFonts w:ascii="Segoe UI" w:hAnsi="Segoe UI"/>
                <w:color w:val="0F172A"/>
                <w:sz w:val="16"/>
              </w:rPr>
              <w:t>Multi-stage container builds, compressed static streaming (Whitenoise 6.12), Gunicorn WSGI workers</w:t>
            </w:r>
          </w:p>
        </w:tc>
      </w:tr>
    </w:tbl>
    <w:p>
      <w:pPr>
        <w:spacing w:after="200"/>
      </w:pPr>
    </w:p>
    <w:p>
      <w:pPr>
        <w:pStyle w:val="Heading2"/>
        <w:keepNext/>
        <w:spacing w:before="260" w:after="80"/>
      </w:pPr>
      <w:r>
        <w:rPr>
          <w:rFonts w:ascii="Segoe UI" w:hAnsi="Segoe UI"/>
          <w:b/>
          <w:color w:val="1E3A8A"/>
          <w:sz w:val="27"/>
        </w:rPr>
        <w:t>3. Role-Based Access Control (RBAC)</w:t>
      </w:r>
    </w:p>
    <w:p>
      <w:r>
        <w:t>The platform protects sensitive student data and operations across 5 distinct user roles:</w:t>
      </w:r>
    </w:p>
    <w:tbl>
      <w:tblPr>
        <w:tblW w:type="auto" w:w="0"/>
        <w:jc w:val="center"/>
        <w:tblLook w:firstColumn="1" w:firstRow="1" w:lastColumn="0" w:lastRow="0" w:noHBand="0" w:noVBand="1" w:val="04A0"/>
        <w:tblBorders>
          <w:top w:val="single" w:sz="4" w:space="0" w:color="E2E8F0"/>
          <w:bottom w:val="single" w:sz="4" w:space="0" w:color="E2E8F0"/>
          <w:left w:val="none" w:sz="0" w:space="0" w:color="auto"/>
          <w:right w:val="none" w:sz="0" w:space="0" w:color="auto"/>
          <w:insideH w:val="single" w:sz="4" w:space="0" w:color="E2E8F0"/>
          <w:insideV w:val="none" w:sz="0" w:space="0" w:color="auto"/>
        </w:tblBorders>
      </w:tblPr>
      <w:tblGrid>
        <w:gridCol w:w="3010"/>
        <w:gridCol w:w="3010"/>
        <w:gridCol w:w="3010"/>
      </w:tblGrid>
      <w:tr>
        <w:tc>
          <w:tcPr>
            <w:tcW w:type="dxa" w:w="2160"/>
            <w:vAlign w:val="center"/>
            <w:tcMar>
              <w:top w:w="80" w:type="dxa"/>
              <w:bottom w:w="80" w:type="dxa"/>
              <w:left w:w="120" w:type="dxa"/>
              <w:right w:w="120" w:type="dxa"/>
            </w:tcMar>
            <w:shd w:fill="1E3A8A"/>
          </w:tcPr>
          <w:p>
            <w:pPr>
              <w:spacing w:before="20" w:after="20"/>
            </w:pPr>
            <w:r>
              <w:rPr>
                <w:rFonts w:ascii="Segoe UI" w:hAnsi="Segoe UI"/>
                <w:b/>
                <w:color w:val="FFFFFF"/>
                <w:sz w:val="17"/>
              </w:rPr>
              <w:t>User Role</w:t>
            </w:r>
          </w:p>
        </w:tc>
        <w:tc>
          <w:tcPr>
            <w:tcW w:type="dxa" w:w="2592"/>
            <w:vAlign w:val="center"/>
            <w:tcMar>
              <w:top w:w="80" w:type="dxa"/>
              <w:bottom w:w="80" w:type="dxa"/>
              <w:left w:w="120" w:type="dxa"/>
              <w:right w:w="120" w:type="dxa"/>
            </w:tcMar>
            <w:shd w:fill="1E3A8A"/>
          </w:tcPr>
          <w:p>
            <w:pPr>
              <w:spacing w:before="20" w:after="20"/>
            </w:pPr>
            <w:r>
              <w:rPr>
                <w:rFonts w:ascii="Segoe UI" w:hAnsi="Segoe UI"/>
                <w:b/>
                <w:color w:val="FFFFFF"/>
                <w:sz w:val="17"/>
              </w:rPr>
              <w:t>Accessible Portals</w:t>
            </w:r>
          </w:p>
        </w:tc>
        <w:tc>
          <w:tcPr>
            <w:tcW w:type="dxa" w:w="4277"/>
            <w:vAlign w:val="center"/>
            <w:tcMar>
              <w:top w:w="80" w:type="dxa"/>
              <w:bottom w:w="80" w:type="dxa"/>
              <w:left w:w="120" w:type="dxa"/>
              <w:right w:w="120" w:type="dxa"/>
            </w:tcMar>
            <w:shd w:fill="1E3A8A"/>
          </w:tcPr>
          <w:p>
            <w:pPr>
              <w:spacing w:before="20" w:after="20"/>
            </w:pPr>
            <w:r>
              <w:rPr>
                <w:rFonts w:ascii="Segoe UI" w:hAnsi="Segoe UI"/>
                <w:b/>
                <w:color w:val="FFFFFF"/>
                <w:sz w:val="17"/>
              </w:rPr>
              <w:t>Operational Permissions &amp; Duties</w:t>
            </w:r>
          </w:p>
        </w:tc>
      </w:tr>
      <w:tr>
        <w:tc>
          <w:tcPr>
            <w:tcW w:type="dxa" w:w="2160"/>
            <w:vAlign w:val="center"/>
            <w:tcMar>
              <w:top w:w="80" w:type="dxa"/>
              <w:bottom w:w="80" w:type="dxa"/>
              <w:left w:w="120" w:type="dxa"/>
              <w:right w:w="120" w:type="dxa"/>
            </w:tcMar>
            <w:shd w:fill="F8FAFC"/>
          </w:tcPr>
          <w:p>
            <w:pPr>
              <w:spacing w:before="20" w:after="20"/>
            </w:pPr>
            <w:r>
              <w:rPr>
                <w:rFonts w:ascii="Segoe UI" w:hAnsi="Segoe UI"/>
                <w:b/>
                <w:color w:val="0F172A"/>
                <w:sz w:val="16"/>
              </w:rPr>
              <w:t>Super Admin</w:t>
            </w:r>
          </w:p>
        </w:tc>
        <w:tc>
          <w:tcPr>
            <w:tcW w:type="dxa" w:w="2592"/>
            <w:vAlign w:val="center"/>
            <w:tcMar>
              <w:top w:w="80" w:type="dxa"/>
              <w:bottom w:w="80" w:type="dxa"/>
              <w:left w:w="120" w:type="dxa"/>
              <w:right w:w="120" w:type="dxa"/>
            </w:tcMar>
            <w:shd w:fill="F8FAFC"/>
          </w:tcPr>
          <w:p>
            <w:pPr>
              <w:spacing w:before="20" w:after="20"/>
            </w:pPr>
            <w:r>
              <w:rPr>
                <w:rFonts w:ascii="Segoe UI" w:hAnsi="Segoe UI"/>
                <w:color w:val="0F172A"/>
                <w:sz w:val="16"/>
              </w:rPr>
              <w:t>Global Platform Access</w:t>
            </w:r>
          </w:p>
        </w:tc>
        <w:tc>
          <w:tcPr>
            <w:tcW w:type="dxa" w:w="4277"/>
            <w:vAlign w:val="center"/>
            <w:tcMar>
              <w:top w:w="80" w:type="dxa"/>
              <w:bottom w:w="80" w:type="dxa"/>
              <w:left w:w="120" w:type="dxa"/>
              <w:right w:w="120" w:type="dxa"/>
            </w:tcMar>
            <w:shd w:fill="F8FAFC"/>
          </w:tcPr>
          <w:p>
            <w:pPr>
              <w:spacing w:before="20" w:after="20"/>
            </w:pPr>
            <w:r>
              <w:rPr>
                <w:rFonts w:ascii="Segoe UI" w:hAnsi="Segoe UI"/>
                <w:color w:val="0F172A"/>
                <w:sz w:val="16"/>
              </w:rPr>
              <w:t>Full administrative control, user provisioning, role assignments, system-wide compliance and audit logging.</w:t>
            </w:r>
          </w:p>
        </w:tc>
      </w:tr>
      <w:tr>
        <w:tc>
          <w:tcPr>
            <w:tcW w:type="dxa" w:w="2160"/>
            <w:vAlign w:val="center"/>
            <w:tcMar>
              <w:top w:w="80" w:type="dxa"/>
              <w:bottom w:w="80" w:type="dxa"/>
              <w:left w:w="120" w:type="dxa"/>
              <w:right w:w="120" w:type="dxa"/>
            </w:tcMar>
            <w:shd w:fill="FFFFFF"/>
          </w:tcPr>
          <w:p>
            <w:pPr>
              <w:spacing w:before="20" w:after="20"/>
            </w:pPr>
            <w:r>
              <w:rPr>
                <w:rFonts w:ascii="Segoe UI" w:hAnsi="Segoe UI"/>
                <w:b/>
                <w:color w:val="0F172A"/>
                <w:sz w:val="16"/>
              </w:rPr>
              <w:t>School Admin</w:t>
            </w:r>
          </w:p>
        </w:tc>
        <w:tc>
          <w:tcPr>
            <w:tcW w:type="dxa" w:w="2592"/>
            <w:vAlign w:val="center"/>
            <w:tcMar>
              <w:top w:w="80" w:type="dxa"/>
              <w:bottom w:w="80" w:type="dxa"/>
              <w:left w:w="120" w:type="dxa"/>
              <w:right w:w="120" w:type="dxa"/>
            </w:tcMar>
            <w:shd w:fill="FFFFFF"/>
          </w:tcPr>
          <w:p>
            <w:pPr>
              <w:spacing w:before="20" w:after="20"/>
            </w:pPr>
            <w:r>
              <w:rPr>
                <w:rFonts w:ascii="Segoe UI" w:hAnsi="Segoe UI"/>
                <w:color w:val="0F172A"/>
                <w:sz w:val="16"/>
              </w:rPr>
              <w:t>Schools, Students, Academics, Inventory</w:t>
            </w:r>
          </w:p>
        </w:tc>
        <w:tc>
          <w:tcPr>
            <w:tcW w:type="dxa" w:w="4277"/>
            <w:vAlign w:val="center"/>
            <w:tcMar>
              <w:top w:w="80" w:type="dxa"/>
              <w:bottom w:w="80" w:type="dxa"/>
              <w:left w:w="120" w:type="dxa"/>
              <w:right w:w="120" w:type="dxa"/>
            </w:tcMar>
            <w:shd w:fill="FFFFFF"/>
          </w:tcPr>
          <w:p>
            <w:pPr>
              <w:spacing w:before="20" w:after="20"/>
            </w:pPr>
            <w:r>
              <w:rPr>
                <w:rFonts w:ascii="Segoe UI" w:hAnsi="Segoe UI"/>
                <w:color w:val="0F172A"/>
                <w:sz w:val="16"/>
              </w:rPr>
              <w:t>Student admissions, bulk CSV uploads, grade recording, academic promotion, and classroom allocations.</w:t>
            </w:r>
          </w:p>
        </w:tc>
      </w:tr>
      <w:tr>
        <w:tc>
          <w:tcPr>
            <w:tcW w:type="dxa" w:w="2160"/>
            <w:vAlign w:val="center"/>
            <w:tcMar>
              <w:top w:w="80" w:type="dxa"/>
              <w:bottom w:w="80" w:type="dxa"/>
              <w:left w:w="120" w:type="dxa"/>
              <w:right w:w="120" w:type="dxa"/>
            </w:tcMar>
            <w:shd w:fill="F8FAFC"/>
          </w:tcPr>
          <w:p>
            <w:pPr>
              <w:spacing w:before="20" w:after="20"/>
            </w:pPr>
            <w:r>
              <w:rPr>
                <w:rFonts w:ascii="Segoe UI" w:hAnsi="Segoe UI"/>
                <w:b/>
                <w:color w:val="0F172A"/>
                <w:sz w:val="16"/>
              </w:rPr>
              <w:t>Accountant</w:t>
            </w:r>
          </w:p>
        </w:tc>
        <w:tc>
          <w:tcPr>
            <w:tcW w:type="dxa" w:w="2592"/>
            <w:vAlign w:val="center"/>
            <w:tcMar>
              <w:top w:w="80" w:type="dxa"/>
              <w:bottom w:w="80" w:type="dxa"/>
              <w:left w:w="120" w:type="dxa"/>
              <w:right w:w="120" w:type="dxa"/>
            </w:tcMar>
            <w:shd w:fill="F8FAFC"/>
          </w:tcPr>
          <w:p>
            <w:pPr>
              <w:spacing w:before="20" w:after="20"/>
            </w:pPr>
            <w:r>
              <w:rPr>
                <w:rFonts w:ascii="Segoe UI" w:hAnsi="Segoe UI"/>
                <w:color w:val="0F172A"/>
                <w:sz w:val="16"/>
              </w:rPr>
              <w:t>Distributions, Inventory, Reports, Exports</w:t>
            </w:r>
          </w:p>
        </w:tc>
        <w:tc>
          <w:tcPr>
            <w:tcW w:type="dxa" w:w="4277"/>
            <w:vAlign w:val="center"/>
            <w:tcMar>
              <w:top w:w="80" w:type="dxa"/>
              <w:bottom w:w="80" w:type="dxa"/>
              <w:left w:w="120" w:type="dxa"/>
              <w:right w:w="120" w:type="dxa"/>
            </w:tcMar>
            <w:shd w:fill="F8FAFC"/>
          </w:tcPr>
          <w:p>
            <w:pPr>
              <w:spacing w:before="20" w:after="20"/>
            </w:pPr>
            <w:r>
              <w:rPr>
                <w:rFonts w:ascii="Segoe UI" w:hAnsi="Segoe UI"/>
                <w:color w:val="0F172A"/>
                <w:sz w:val="16"/>
              </w:rPr>
              <w:t>Approves material disbursements, tracks laptop asset serials, runs financial audits, and exports Excel reports.</w:t>
            </w:r>
          </w:p>
        </w:tc>
      </w:tr>
      <w:tr>
        <w:tc>
          <w:tcPr>
            <w:tcW w:type="dxa" w:w="2160"/>
            <w:vAlign w:val="center"/>
            <w:tcMar>
              <w:top w:w="80" w:type="dxa"/>
              <w:bottom w:w="80" w:type="dxa"/>
              <w:left w:w="120" w:type="dxa"/>
              <w:right w:w="120" w:type="dxa"/>
            </w:tcMar>
            <w:shd w:fill="FFFFFF"/>
          </w:tcPr>
          <w:p>
            <w:pPr>
              <w:spacing w:before="20" w:after="20"/>
            </w:pPr>
            <w:r>
              <w:rPr>
                <w:rFonts w:ascii="Segoe UI" w:hAnsi="Segoe UI"/>
                <w:b/>
                <w:color w:val="0F172A"/>
                <w:sz w:val="16"/>
              </w:rPr>
              <w:t>Event Coordinator</w:t>
            </w:r>
          </w:p>
        </w:tc>
        <w:tc>
          <w:tcPr>
            <w:tcW w:type="dxa" w:w="2592"/>
            <w:vAlign w:val="center"/>
            <w:tcMar>
              <w:top w:w="80" w:type="dxa"/>
              <w:bottom w:w="80" w:type="dxa"/>
              <w:left w:w="120" w:type="dxa"/>
              <w:right w:w="120" w:type="dxa"/>
            </w:tcMar>
            <w:shd w:fill="FFFFFF"/>
          </w:tcPr>
          <w:p>
            <w:pPr>
              <w:spacing w:before="20" w:after="20"/>
            </w:pPr>
            <w:r>
              <w:rPr>
                <w:rFonts w:ascii="Segoe UI" w:hAnsi="Segoe UI"/>
                <w:color w:val="0F172A"/>
                <w:sz w:val="16"/>
              </w:rPr>
              <w:t>Events Portal, Resource Requests, Internships</w:t>
            </w:r>
          </w:p>
        </w:tc>
        <w:tc>
          <w:tcPr>
            <w:tcW w:type="dxa" w:w="4277"/>
            <w:vAlign w:val="center"/>
            <w:tcMar>
              <w:top w:w="80" w:type="dxa"/>
              <w:bottom w:w="80" w:type="dxa"/>
              <w:left w:w="120" w:type="dxa"/>
              <w:right w:w="120" w:type="dxa"/>
            </w:tcMar>
            <w:shd w:fill="FFFFFF"/>
          </w:tcPr>
          <w:p>
            <w:pPr>
              <w:spacing w:before="20" w:after="20"/>
            </w:pPr>
            <w:r>
              <w:rPr>
                <w:rFonts w:ascii="Segoe UI" w:hAnsi="Segoe UI"/>
                <w:color w:val="0F172A"/>
                <w:sz w:val="16"/>
              </w:rPr>
              <w:t>Organizes community workshops and distribution drives, requisitions warehouse equipment, manages intern cohorts.</w:t>
            </w:r>
          </w:p>
        </w:tc>
      </w:tr>
      <w:tr>
        <w:tc>
          <w:tcPr>
            <w:tcW w:type="dxa" w:w="2160"/>
            <w:vAlign w:val="center"/>
            <w:tcMar>
              <w:top w:w="80" w:type="dxa"/>
              <w:bottom w:w="80" w:type="dxa"/>
              <w:left w:w="120" w:type="dxa"/>
              <w:right w:w="120" w:type="dxa"/>
            </w:tcMar>
            <w:shd w:fill="F8FAFC"/>
          </w:tcPr>
          <w:p>
            <w:pPr>
              <w:spacing w:before="20" w:after="20"/>
            </w:pPr>
            <w:r>
              <w:rPr>
                <w:rFonts w:ascii="Segoe UI" w:hAnsi="Segoe UI"/>
                <w:b/>
                <w:color w:val="0F172A"/>
                <w:sz w:val="16"/>
              </w:rPr>
              <w:t>Volunteer</w:t>
            </w:r>
          </w:p>
        </w:tc>
        <w:tc>
          <w:tcPr>
            <w:tcW w:type="dxa" w:w="2592"/>
            <w:vAlign w:val="center"/>
            <w:tcMar>
              <w:top w:w="80" w:type="dxa"/>
              <w:bottom w:w="80" w:type="dxa"/>
              <w:left w:w="120" w:type="dxa"/>
              <w:right w:w="120" w:type="dxa"/>
            </w:tcMar>
            <w:shd w:fill="F8FAFC"/>
          </w:tcPr>
          <w:p>
            <w:pPr>
              <w:spacing w:before="20" w:after="20"/>
            </w:pPr>
            <w:r>
              <w:rPr>
                <w:rFonts w:ascii="Segoe UI" w:hAnsi="Segoe UI"/>
                <w:color w:val="0F172A"/>
                <w:sz w:val="16"/>
              </w:rPr>
              <w:t>Volunteer Portal, Event Participation</w:t>
            </w:r>
          </w:p>
        </w:tc>
        <w:tc>
          <w:tcPr>
            <w:tcW w:type="dxa" w:w="4277"/>
            <w:vAlign w:val="center"/>
            <w:tcMar>
              <w:top w:w="80" w:type="dxa"/>
              <w:bottom w:w="80" w:type="dxa"/>
              <w:left w:w="120" w:type="dxa"/>
              <w:right w:w="120" w:type="dxa"/>
            </w:tcMar>
            <w:shd w:fill="F8FAFC"/>
          </w:tcPr>
          <w:p>
            <w:pPr>
              <w:spacing w:before="20" w:after="20"/>
            </w:pPr>
            <w:r>
              <w:rPr>
                <w:rFonts w:ascii="Segoe UI" w:hAnsi="Segoe UI"/>
                <w:color w:val="0F172A"/>
                <w:sz w:val="16"/>
              </w:rPr>
              <w:t>Views assigned school visits and distribution events, logs service hours, and tracks personal contribution history.</w:t>
            </w:r>
          </w:p>
        </w:tc>
      </w:tr>
    </w:tbl>
    <w:p>
      <w:pPr>
        <w:spacing w:after="200"/>
      </w:pPr>
    </w:p>
    <w:p>
      <w:pPr>
        <w:pStyle w:val="Heading2"/>
        <w:keepNext/>
        <w:spacing w:before="260" w:after="80"/>
      </w:pPr>
      <w:r>
        <w:rPr>
          <w:rFonts w:ascii="Segoe UI" w:hAnsi="Segoe UI"/>
          <w:b/>
          <w:color w:val="1E3A8A"/>
          <w:sz w:val="27"/>
        </w:rPr>
        <w:t>4. Core Functional Modules Deep-Dive</w:t>
      </w:r>
    </w:p>
    <w:p>
      <w:pPr>
        <w:pStyle w:val="Heading3"/>
        <w:keepNext/>
        <w:spacing w:before="200" w:after="60"/>
      </w:pPr>
      <w:r>
        <w:rPr>
          <w:rFonts w:ascii="Segoe UI" w:hAnsi="Segoe UI"/>
          <w:b/>
          <w:color w:val="2563EB"/>
          <w:sz w:val="22"/>
        </w:rPr>
        <w:t>4.1. Partner School Administration (schools)</w:t>
      </w:r>
    </w:p>
    <w:p>
      <w:pPr>
        <w:pStyle w:val="ListBullet"/>
        <w:spacing w:before="20" w:after="40"/>
      </w:pPr>
      <w:r>
        <w:rPr>
          <w:rFonts w:ascii="Segoe UI" w:hAnsi="Segoe UI"/>
          <w:color w:val="1E293B"/>
          <w:sz w:val="17"/>
        </w:rPr>
        <w:t>Comprehensive directory storing school name, government UDISE code, geographical taluk/village, and headmaster contact details.</w:t>
      </w:r>
    </w:p>
    <w:p>
      <w:pPr>
        <w:pStyle w:val="ListBullet"/>
        <w:spacing w:before="20" w:after="40"/>
      </w:pPr>
      <w:r>
        <w:rPr>
          <w:rFonts w:ascii="Segoe UI" w:hAnsi="Segoe UI"/>
          <w:color w:val="1E293B"/>
          <w:sz w:val="17"/>
        </w:rPr>
        <w:t>Grade-Level Strength Matrix: Live tracking of student headcount breakdowns across Classes 1 through 10.</w:t>
      </w:r>
    </w:p>
    <w:p>
      <w:pPr>
        <w:pStyle w:val="ListBullet"/>
        <w:spacing w:before="20" w:after="40"/>
      </w:pPr>
      <w:r>
        <w:rPr>
          <w:rFonts w:ascii="Segoe UI" w:hAnsi="Segoe UI"/>
          <w:color w:val="1E293B"/>
          <w:sz w:val="17"/>
        </w:rPr>
        <w:t>Infrastructure &amp; Asset Registry: Logs educational equipment installed at partner schools, including computer labs, smart TVs, and libraries.</w:t>
      </w:r>
    </w:p>
    <w:p>
      <w:pPr>
        <w:pStyle w:val="ListBullet"/>
        <w:spacing w:before="20" w:after="40"/>
      </w:pPr>
      <w:r>
        <w:rPr>
          <w:rFonts w:ascii="Segoe UI" w:hAnsi="Segoe UI"/>
          <w:color w:val="1E293B"/>
          <w:sz w:val="17"/>
        </w:rPr>
        <w:t>Institutional Milestone Timeline: Records grants, infrastructure inaugurations, and foundation achievements.</w:t>
      </w:r>
    </w:p>
    <w:p>
      <w:pPr>
        <w:spacing w:after="60"/>
      </w:pPr>
    </w:p>
    <w:p>
      <w:pPr>
        <w:pStyle w:val="Heading3"/>
        <w:keepNext/>
        <w:spacing w:before="200" w:after="60"/>
      </w:pPr>
      <w:r>
        <w:rPr>
          <w:rFonts w:ascii="Segoe UI" w:hAnsi="Segoe UI"/>
          <w:b/>
          <w:color w:val="2563EB"/>
          <w:sz w:val="22"/>
        </w:rPr>
        <w:t>4.2. Student Identity &amp; Roster Management (students)</w:t>
      </w:r>
    </w:p>
    <w:p>
      <w:pPr>
        <w:pStyle w:val="ListBullet"/>
        <w:spacing w:before="20" w:after="40"/>
      </w:pPr>
      <w:r>
        <w:rPr>
          <w:rFonts w:ascii="Segoe UI" w:hAnsi="Segoe UI"/>
          <w:color w:val="1E293B"/>
          <w:sz w:val="17"/>
        </w:rPr>
        <w:t>Central identity management with admission numbers, gender, date of birth, category, contact info, and assigned partner school.</w:t>
      </w:r>
    </w:p>
    <w:p>
      <w:pPr>
        <w:pStyle w:val="ListBullet"/>
        <w:spacing w:before="20" w:after="40"/>
      </w:pPr>
      <w:r>
        <w:rPr>
          <w:rFonts w:ascii="Segoe UI" w:hAnsi="Segoe UI"/>
          <w:color w:val="1E293B"/>
          <w:sz w:val="17"/>
        </w:rPr>
        <w:t>High-Speed CSV Bulk Ingestion: Batch import pipeline with strict validation, duplicate detection, and atomic rollback on errors.</w:t>
      </w:r>
    </w:p>
    <w:p>
      <w:pPr>
        <w:pStyle w:val="ListBullet"/>
        <w:spacing w:before="20" w:after="40"/>
      </w:pPr>
      <w:r>
        <w:rPr>
          <w:rFonts w:ascii="Segoe UI" w:hAnsi="Segoe UI"/>
          <w:color w:val="1E293B"/>
          <w:sz w:val="17"/>
        </w:rPr>
        <w:t>Multi-Attribute Filter Bar: Real-time filtering by search query, school, class equivalent, gender, and active enrollment status.</w:t>
      </w:r>
    </w:p>
    <w:p>
      <w:pPr>
        <w:spacing w:after="60"/>
      </w:pPr>
    </w:p>
    <w:p>
      <w:pPr>
        <w:pStyle w:val="Heading3"/>
        <w:keepNext/>
        <w:spacing w:before="200" w:after="60"/>
      </w:pPr>
      <w:r>
        <w:rPr>
          <w:rFonts w:ascii="Segoe UI" w:hAnsi="Segoe UI"/>
          <w:b/>
          <w:color w:val="2563EB"/>
          <w:sz w:val="22"/>
        </w:rPr>
        <w:t>4.3. Academics &amp; CourseMaster Engine (academics)</w:t>
      </w:r>
    </w:p>
    <w:p>
      <w:pPr>
        <w:pStyle w:val="ListBullet"/>
        <w:spacing w:before="20" w:after="40"/>
      </w:pPr>
      <w:r>
        <w:rPr>
          <w:rFonts w:ascii="Segoe UI" w:hAnsi="Segoe UI"/>
          <w:color w:val="1E293B"/>
          <w:sz w:val="17"/>
        </w:rPr>
        <w:t>Academic Performance Records: Tracks subject marks, total scores, automatic percentage calculation, and class standings.</w:t>
      </w:r>
    </w:p>
    <w:p>
      <w:pPr>
        <w:pStyle w:val="ListBullet"/>
        <w:spacing w:before="20" w:after="40"/>
      </w:pPr>
      <w:r>
        <w:rPr>
          <w:rFonts w:ascii="Segoe UI" w:hAnsi="Segoe UI"/>
          <w:color w:val="1E293B"/>
          <w:sz w:val="17"/>
        </w:rPr>
        <w:t>Automated Promotion Pipeline: Evaluates student performance into Promoted, Conditional, or Non-Promoted standing.</w:t>
      </w:r>
    </w:p>
    <w:p>
      <w:pPr>
        <w:pStyle w:val="ListBullet"/>
        <w:spacing w:before="20" w:after="40"/>
      </w:pPr>
      <w:r>
        <w:rPr>
          <w:rFonts w:ascii="Segoe UI" w:hAnsi="Segoe UI"/>
          <w:color w:val="1E293B"/>
          <w:sz w:val="17"/>
        </w:rPr>
        <w:t>Dynamic CourseMaster: Extensible catalog clearly distinguishing primary/secondary school classes from collegiate degree courses (PUC, ITI, Diploma, BE).</w:t>
      </w:r>
    </w:p>
    <w:p>
      <w:pPr>
        <w:spacing w:after="60"/>
      </w:pPr>
    </w:p>
    <w:p>
      <w:pPr>
        <w:pStyle w:val="Heading3"/>
        <w:keepNext/>
        <w:spacing w:before="200" w:after="60"/>
      </w:pPr>
      <w:r>
        <w:rPr>
          <w:rFonts w:ascii="Segoe UI" w:hAnsi="Segoe UI"/>
          <w:b/>
          <w:color w:val="2563EB"/>
          <w:sz w:val="22"/>
        </w:rPr>
        <w:t>4.4. Student Benefit Eligibility Matrix (eligibility)</w:t>
      </w:r>
    </w:p>
    <w:p>
      <w:pPr>
        <w:pStyle w:val="ListBullet"/>
        <w:spacing w:before="20" w:after="40"/>
      </w:pPr>
      <w:r>
        <w:rPr>
          <w:rFonts w:ascii="Segoe UI" w:hAnsi="Segoe UI"/>
          <w:color w:val="1E293B"/>
          <w:sz w:val="17"/>
        </w:rPr>
        <w:t>Rule Engine: Evaluates student qualifications across 5 core CSR benefit categories (Textbooks, Workbooks, Study Kits, Laptops, Internships).</w:t>
      </w:r>
    </w:p>
    <w:p>
      <w:pPr>
        <w:pStyle w:val="ListBullet"/>
        <w:spacing w:before="20" w:after="40"/>
      </w:pPr>
      <w:r>
        <w:rPr>
          <w:rFonts w:ascii="Segoe UI" w:hAnsi="Segoe UI"/>
          <w:color w:val="1E293B"/>
          <w:sz w:val="17"/>
        </w:rPr>
        <w:t>Smart Educational Resolver: Seamlessly maps equivalent academic terms ('10th' &lt;-&gt; 'Class 10', 'PUC' &lt;-&gt; '12th') to eliminate classification bugs.</w:t>
      </w:r>
    </w:p>
    <w:p>
      <w:pPr>
        <w:pStyle w:val="ListBullet"/>
        <w:spacing w:before="20" w:after="40"/>
      </w:pPr>
      <w:r>
        <w:rPr>
          <w:rFonts w:ascii="Segoe UI" w:hAnsi="Segoe UI"/>
          <w:color w:val="1E293B"/>
          <w:sz w:val="17"/>
        </w:rPr>
        <w:t>Dynamic Benefit Filtering: Allows foundation administrators to immediately filter candidate pools meeting exact merit criteria.</w:t>
      </w:r>
    </w:p>
    <w:p>
      <w:pPr>
        <w:spacing w:after="60"/>
      </w:pPr>
    </w:p>
    <w:p>
      <w:pPr>
        <w:pStyle w:val="Heading3"/>
        <w:keepNext/>
        <w:spacing w:before="200" w:after="60"/>
      </w:pPr>
      <w:r>
        <w:rPr>
          <w:rFonts w:ascii="Segoe UI" w:hAnsi="Segoe UI"/>
          <w:b/>
          <w:color w:val="2563EB"/>
          <w:sz w:val="22"/>
        </w:rPr>
        <w:t>4.5. Warehouse Supply Chain &amp; Laptop Assets (inventory)</w:t>
      </w:r>
    </w:p>
    <w:p>
      <w:pPr>
        <w:pStyle w:val="ListBullet"/>
        <w:spacing w:before="20" w:after="40"/>
      </w:pPr>
      <w:r>
        <w:rPr>
          <w:rFonts w:ascii="Segoe UI" w:hAnsi="Segoe UI"/>
          <w:color w:val="1E293B"/>
          <w:sz w:val="17"/>
        </w:rPr>
        <w:t>Stock Transaction Ledger: Real-time logging of stock-in (donor/vendor receipts) and stock-out (distributions) for school kits.</w:t>
      </w:r>
    </w:p>
    <w:p>
      <w:pPr>
        <w:pStyle w:val="ListBullet"/>
        <w:spacing w:before="20" w:after="40"/>
      </w:pPr>
      <w:r>
        <w:rPr>
          <w:rFonts w:ascii="Segoe UI" w:hAnsi="Segoe UI"/>
          <w:color w:val="1E293B"/>
          <w:sz w:val="17"/>
        </w:rPr>
        <w:t>Low-Stock Visual Indicators: Automated badges (In Stock, Low Stock, Depleted) warning logistics staff when stock falls below safety thresholds.</w:t>
      </w:r>
    </w:p>
    <w:p>
      <w:pPr>
        <w:pStyle w:val="ListBullet"/>
        <w:spacing w:before="20" w:after="40"/>
      </w:pPr>
      <w:r>
        <w:rPr>
          <w:rFonts w:ascii="Segoe UI" w:hAnsi="Segoe UI"/>
          <w:color w:val="1E293B"/>
          <w:sz w:val="17"/>
        </w:rPr>
        <w:t>Laptop Asset Lifecycle: Tracks serial numbers, processor specifications, student assignment records, and hardware return processing.</w:t>
      </w:r>
    </w:p>
    <w:p>
      <w:pPr>
        <w:spacing w:after="60"/>
      </w:pPr>
    </w:p>
    <w:p>
      <w:pPr>
        <w:pStyle w:val="Heading3"/>
        <w:keepNext/>
        <w:spacing w:before="200" w:after="60"/>
      </w:pPr>
      <w:r>
        <w:rPr>
          <w:rFonts w:ascii="Segoe UI" w:hAnsi="Segoe UI"/>
          <w:b/>
          <w:color w:val="2563EB"/>
          <w:sz w:val="22"/>
        </w:rPr>
        <w:t>4.6. Benefit Distributions Logistics (distributions)</w:t>
      </w:r>
    </w:p>
    <w:p>
      <w:pPr>
        <w:pStyle w:val="ListBullet"/>
        <w:spacing w:before="20" w:after="40"/>
      </w:pPr>
      <w:r>
        <w:rPr>
          <w:rFonts w:ascii="Segoe UI" w:hAnsi="Segoe UI"/>
          <w:color w:val="1E293B"/>
          <w:sz w:val="17"/>
        </w:rPr>
        <w:t>Logistics Ledger: Verifies student qualification prior to material issuance, preventing duplicate or unauthorized distributions.</w:t>
      </w:r>
    </w:p>
    <w:p>
      <w:pPr>
        <w:pStyle w:val="ListBullet"/>
        <w:spacing w:before="20" w:after="40"/>
      </w:pPr>
      <w:r>
        <w:rPr>
          <w:rFonts w:ascii="Segoe UI" w:hAnsi="Segoe UI"/>
          <w:color w:val="1E293B"/>
          <w:sz w:val="17"/>
        </w:rPr>
        <w:t>Study Kit Assembly: Bundling logic combining school bags, geometry sets, stationery, and notebooks into standardized kits.</w:t>
      </w:r>
    </w:p>
    <w:p>
      <w:pPr>
        <w:pStyle w:val="ListBullet"/>
        <w:spacing w:before="20" w:after="40"/>
      </w:pPr>
      <w:r>
        <w:rPr>
          <w:rFonts w:ascii="Segoe UI" w:hAnsi="Segoe UI"/>
          <w:color w:val="1E293B"/>
          <w:sz w:val="17"/>
        </w:rPr>
        <w:t>Handover Receipts: Digital distribution records logging issuer, recipient signature/acknowledgement, and distribution date.</w:t>
      </w:r>
    </w:p>
    <w:p>
      <w:pPr>
        <w:spacing w:after="60"/>
      </w:pPr>
    </w:p>
    <w:p>
      <w:pPr>
        <w:pStyle w:val="Heading3"/>
        <w:keepNext/>
        <w:spacing w:before="200" w:after="60"/>
      </w:pPr>
      <w:r>
        <w:rPr>
          <w:rFonts w:ascii="Segoe UI" w:hAnsi="Segoe UI"/>
          <w:b/>
          <w:color w:val="2563EB"/>
          <w:sz w:val="22"/>
        </w:rPr>
        <w:t>4.7. Corporate Industrial Internships (internships)</w:t>
      </w:r>
    </w:p>
    <w:p>
      <w:pPr>
        <w:pStyle w:val="ListBullet"/>
        <w:spacing w:before="20" w:after="40"/>
      </w:pPr>
      <w:r>
        <w:rPr>
          <w:rFonts w:ascii="Segoe UI" w:hAnsi="Segoe UI"/>
          <w:color w:val="1E293B"/>
          <w:sz w:val="17"/>
        </w:rPr>
        <w:t>Manufacturing Training Tracks: Program administration at Aequs SEZ manufacturing units (CNC machining, aerospace tooling, QA, assembly).</w:t>
      </w:r>
    </w:p>
    <w:p>
      <w:pPr>
        <w:pStyle w:val="ListBullet"/>
        <w:spacing w:before="20" w:after="40"/>
      </w:pPr>
      <w:r>
        <w:rPr>
          <w:rFonts w:ascii="Segoe UI" w:hAnsi="Segoe UI"/>
          <w:color w:val="1E293B"/>
          <w:sz w:val="17"/>
        </w:rPr>
        <w:t>Candidate Pool &amp; Placement: Matches qualified vocational and diploma candidates to corporate engineering mentors.</w:t>
      </w:r>
    </w:p>
    <w:p>
      <w:pPr>
        <w:pStyle w:val="ListBullet"/>
        <w:spacing w:before="20" w:after="40"/>
      </w:pPr>
      <w:r>
        <w:rPr>
          <w:rFonts w:ascii="Segoe UI" w:hAnsi="Segoe UI"/>
          <w:color w:val="1E293B"/>
          <w:sz w:val="17"/>
        </w:rPr>
        <w:t>Milestone &amp; Stipend Ledger: Tracks monthly intern attendance, stipend disbursements, performance evaluations, and completion certificates.</w:t>
      </w:r>
    </w:p>
    <w:p>
      <w:pPr>
        <w:spacing w:after="60"/>
      </w:pPr>
    </w:p>
    <w:p>
      <w:pPr>
        <w:pStyle w:val="Heading3"/>
        <w:keepNext/>
        <w:spacing w:before="200" w:after="60"/>
      </w:pPr>
      <w:r>
        <w:rPr>
          <w:rFonts w:ascii="Segoe UI" w:hAnsi="Segoe UI"/>
          <w:b/>
          <w:color w:val="2563EB"/>
          <w:sz w:val="22"/>
        </w:rPr>
        <w:t>4.8. Community Events &amp; Resource Requisition (events)</w:t>
      </w:r>
    </w:p>
    <w:p>
      <w:pPr>
        <w:pStyle w:val="ListBullet"/>
        <w:spacing w:before="20" w:after="40"/>
      </w:pPr>
      <w:r>
        <w:rPr>
          <w:rFonts w:ascii="Segoe UI" w:hAnsi="Segoe UI"/>
          <w:color w:val="1E293B"/>
          <w:sz w:val="17"/>
        </w:rPr>
        <w:t>Event Planning Workflow: Manages educational workshops, distribution ceremonies, health checkup camps, and school visits.</w:t>
      </w:r>
    </w:p>
    <w:p>
      <w:pPr>
        <w:pStyle w:val="ListBullet"/>
        <w:spacing w:before="20" w:after="40"/>
      </w:pPr>
      <w:r>
        <w:rPr>
          <w:rFonts w:ascii="Segoe UI" w:hAnsi="Segoe UI"/>
          <w:color w:val="1E293B"/>
          <w:sz w:val="17"/>
        </w:rPr>
        <w:t>Cross-Module Resource Requests: Directly links events to warehouse inventory, allowing coordinators to reserve study kits in advance.</w:t>
      </w:r>
    </w:p>
    <w:p>
      <w:pPr>
        <w:pStyle w:val="ListBullet"/>
        <w:spacing w:before="20" w:after="40"/>
      </w:pPr>
      <w:r>
        <w:rPr>
          <w:rFonts w:ascii="Segoe UI" w:hAnsi="Segoe UI"/>
          <w:color w:val="1E293B"/>
          <w:sz w:val="17"/>
        </w:rPr>
        <w:t>Volunteer Deployment: Assigns registered community volunteers to specific event roles and track attendance.</w:t>
      </w:r>
    </w:p>
    <w:p>
      <w:pPr>
        <w:spacing w:after="60"/>
      </w:pPr>
    </w:p>
    <w:p>
      <w:pPr>
        <w:pStyle w:val="Heading3"/>
        <w:keepNext/>
        <w:spacing w:before="200" w:after="60"/>
      </w:pPr>
      <w:r>
        <w:rPr>
          <w:rFonts w:ascii="Segoe UI" w:hAnsi="Segoe UI"/>
          <w:b/>
          <w:color w:val="2563EB"/>
          <w:sz w:val="22"/>
        </w:rPr>
        <w:t>4.9. Volunteer Portal &amp; Live QR Registration (volunteers)</w:t>
      </w:r>
    </w:p>
    <w:p>
      <w:pPr>
        <w:pStyle w:val="ListBullet"/>
        <w:spacing w:before="20" w:after="40"/>
      </w:pPr>
      <w:r>
        <w:rPr>
          <w:rFonts w:ascii="Segoe UI" w:hAnsi="Segoe UI"/>
          <w:color w:val="1E293B"/>
          <w:sz w:val="17"/>
        </w:rPr>
        <w:t>Volunteer Directory: Profiles tracking volunteer skills, occupation, qualification, and cumulative service hours contributed.</w:t>
      </w:r>
    </w:p>
    <w:p>
      <w:pPr>
        <w:pStyle w:val="ListBullet"/>
        <w:spacing w:before="20" w:after="40"/>
      </w:pPr>
      <w:r>
        <w:rPr>
          <w:rFonts w:ascii="Segoe UI" w:hAnsi="Segoe UI"/>
          <w:color w:val="1E293B"/>
          <w:sz w:val="17"/>
        </w:rPr>
        <w:t>Tokenized Link Generator: Generates unique, secure sharing links (VolunteerFormLink) for community recruitment campaigns.</w:t>
      </w:r>
    </w:p>
    <w:p>
      <w:pPr>
        <w:pStyle w:val="ListBullet"/>
        <w:spacing w:before="20" w:after="40"/>
      </w:pPr>
      <w:r>
        <w:rPr>
          <w:rFonts w:ascii="Segoe UI" w:hAnsi="Segoe UI"/>
          <w:color w:val="1E293B"/>
          <w:sz w:val="17"/>
        </w:rPr>
        <w:t>Live Dynamic PNG QR Code: Embedded generator outputting scannable high-density QR codes (Reed-Solomon Level H) downloadable for print and web.</w:t>
      </w:r>
    </w:p>
    <w:p>
      <w:pPr>
        <w:pStyle w:val="ListBullet"/>
        <w:spacing w:before="20" w:after="40"/>
      </w:pPr>
      <w:r>
        <w:rPr>
          <w:rFonts w:ascii="Segoe UI" w:hAnsi="Segoe UI"/>
          <w:color w:val="1E293B"/>
          <w:sz w:val="17"/>
        </w:rPr>
        <w:t>Public Self-Registration: Standalone, mobile-responsive registration portal allowing prospective volunteers to register directly online.</w:t>
      </w:r>
    </w:p>
    <w:p>
      <w:pPr>
        <w:spacing w:after="60"/>
      </w:pPr>
    </w:p>
    <w:p>
      <w:pPr>
        <w:pStyle w:val="Heading3"/>
        <w:keepNext/>
        <w:spacing w:before="200" w:after="60"/>
      </w:pPr>
      <w:r>
        <w:rPr>
          <w:rFonts w:ascii="Segoe UI" w:hAnsi="Segoe UI"/>
          <w:b/>
          <w:color w:val="2563EB"/>
          <w:sz w:val="22"/>
        </w:rPr>
        <w:t>4.10. Executive Reporting &amp; Compliance Audit (reports)</w:t>
      </w:r>
    </w:p>
    <w:p>
      <w:pPr>
        <w:pStyle w:val="ListBullet"/>
        <w:spacing w:before="20" w:after="40"/>
      </w:pPr>
      <w:r>
        <w:rPr>
          <w:rFonts w:ascii="Segoe UI" w:hAnsi="Segoe UI"/>
          <w:color w:val="1E293B"/>
          <w:sz w:val="17"/>
        </w:rPr>
        <w:t>Executive KPI Dashboard: Instant consolidated metrics across partner schools, student headcount, laptops distributed, and active volunteers.</w:t>
      </w:r>
    </w:p>
    <w:p>
      <w:pPr>
        <w:pStyle w:val="ListBullet"/>
        <w:spacing w:before="20" w:after="40"/>
      </w:pPr>
      <w:r>
        <w:rPr>
          <w:rFonts w:ascii="Segoe UI" w:hAnsi="Segoe UI"/>
          <w:color w:val="1E293B"/>
          <w:sz w:val="17"/>
        </w:rPr>
        <w:t>Real-time JSON Logs API: Asynchronous endpoint (/reports/api/logs/) supporting live audit log streaming without full page reloads.</w:t>
      </w:r>
    </w:p>
    <w:p>
      <w:pPr>
        <w:pStyle w:val="ListBullet"/>
        <w:spacing w:before="20" w:after="40"/>
      </w:pPr>
      <w:r>
        <w:rPr>
          <w:rFonts w:ascii="Segoe UI" w:hAnsi="Segoe UI"/>
          <w:color w:val="1E293B"/>
          <w:sz w:val="17"/>
        </w:rPr>
        <w:t>AuditLogMiddleware: Automatic request-level logging capturing user logins, CRUD modifications, object IDs, and IP addresses.</w:t>
      </w:r>
    </w:p>
    <w:p>
      <w:pPr>
        <w:pStyle w:val="ListBullet"/>
        <w:spacing w:before="20" w:after="40"/>
      </w:pPr>
      <w:r>
        <w:rPr>
          <w:rFonts w:ascii="Segoe UI" w:hAnsi="Segoe UI"/>
          <w:color w:val="1E293B"/>
          <w:sz w:val="17"/>
        </w:rPr>
        <w:t>One-Click Data Exports: Dedicated export handlers producing formatted CSV and Excel (.xlsx) reports for government compliance.</w:t>
      </w:r>
    </w:p>
    <w:p>
      <w:pPr>
        <w:spacing w:after="60"/>
      </w:pPr>
    </w:p>
    <w:p>
      <w:pPr>
        <w:pStyle w:val="Heading2"/>
        <w:keepNext/>
        <w:spacing w:before="260" w:after="80"/>
      </w:pPr>
      <w:r>
        <w:rPr>
          <w:rFonts w:ascii="Segoe UI" w:hAnsi="Segoe UI"/>
          <w:b/>
          <w:color w:val="1E3A8A"/>
          <w:sz w:val="27"/>
        </w:rPr>
        <w:t>5. Engineering Roadmap &amp; Visual Timeline</w:t>
      </w:r>
    </w:p>
    <w:p>
      <w:r>
        <w:t>Visual Gantt chart and module release evolution tracing the platform's development lifecycle:</w:t>
      </w:r>
    </w:p>
    <w:p>
      <w:pPr>
        <w:spacing w:after="200"/>
        <w:jc w:val="center"/>
      </w:pPr>
      <w:r>
        <w:drawing>
          <wp:inline xmlns:a="http://schemas.openxmlformats.org/drawingml/2006/main" xmlns:pic="http://schemas.openxmlformats.org/drawingml/2006/picture">
            <wp:extent cx="5733288" cy="2866644"/>
            <wp:docPr id="1" name="Picture 1"/>
            <wp:cNvGraphicFramePr>
              <a:graphicFrameLocks noChangeAspect="1"/>
            </wp:cNvGraphicFramePr>
            <a:graphic>
              <a:graphicData uri="http://schemas.openxmlformats.org/drawingml/2006/picture">
                <pic:pic>
                  <pic:nvPicPr>
                    <pic:cNvPr id="0" name="gantt_chart.png"/>
                    <pic:cNvPicPr/>
                  </pic:nvPicPr>
                  <pic:blipFill>
                    <a:blip r:embed="rId9"/>
                    <a:stretch>
                      <a:fillRect/>
                    </a:stretch>
                  </pic:blipFill>
                  <pic:spPr>
                    <a:xfrm>
                      <a:off x="0" y="0"/>
                      <a:ext cx="5733288" cy="2866644"/>
                    </a:xfrm>
                    <a:prstGeom prst="rect"/>
                  </pic:spPr>
                </pic:pic>
              </a:graphicData>
            </a:graphic>
          </wp:inline>
        </w:drawing>
      </w:r>
    </w:p>
    <w:p>
      <w:pPr>
        <w:spacing w:after="200"/>
        <w:jc w:val="center"/>
      </w:pPr>
      <w:r>
        <w:drawing>
          <wp:inline xmlns:a="http://schemas.openxmlformats.org/drawingml/2006/main" xmlns:pic="http://schemas.openxmlformats.org/drawingml/2006/picture">
            <wp:extent cx="5733288" cy="3307666"/>
            <wp:docPr id="2" name="Picture 2"/>
            <wp:cNvGraphicFramePr>
              <a:graphicFrameLocks noChangeAspect="1"/>
            </wp:cNvGraphicFramePr>
            <a:graphic>
              <a:graphicData uri="http://schemas.openxmlformats.org/drawingml/2006/picture">
                <pic:pic>
                  <pic:nvPicPr>
                    <pic:cNvPr id="0" name="module_evolution.png"/>
                    <pic:cNvPicPr/>
                  </pic:nvPicPr>
                  <pic:blipFill>
                    <a:blip r:embed="rId10"/>
                    <a:stretch>
                      <a:fillRect/>
                    </a:stretch>
                  </pic:blipFill>
                  <pic:spPr>
                    <a:xfrm>
                      <a:off x="0" y="0"/>
                      <a:ext cx="5733288" cy="3307666"/>
                    </a:xfrm>
                    <a:prstGeom prst="rect"/>
                  </pic:spPr>
                </pic:pic>
              </a:graphicData>
            </a:graphic>
          </wp:inline>
        </w:drawing>
      </w:r>
    </w:p>
    <w:p>
      <w:pPr>
        <w:pStyle w:val="Heading2"/>
        <w:keepNext/>
        <w:spacing w:before="260" w:after="80"/>
      </w:pPr>
      <w:r>
        <w:rPr>
          <w:rFonts w:ascii="Segoe UI" w:hAnsi="Segoe UI"/>
          <w:b/>
          <w:color w:val="1E3A8A"/>
          <w:sz w:val="27"/>
        </w:rPr>
        <w:t>6. Quality Verification &amp; Codebase Optimization</w:t>
      </w:r>
    </w:p>
    <w:p>
      <w:r>
        <w:t>Aequs EduTrack adheres to rigorous enterprise quality standards, zero-bloat architecture, and complete test verification:</w:t>
      </w:r>
    </w:p>
    <w:p>
      <w:pPr>
        <w:spacing w:after="60"/>
      </w:pPr>
      <w:r>
        <w:rPr>
          <w:b/>
          <w:sz w:val="18"/>
        </w:rPr>
        <w:t xml:space="preserve">• Automated Test Suite: </w:t>
      </w:r>
      <w:r>
        <w:rPr>
          <w:sz w:val="18"/>
        </w:rPr>
        <w:t>78 unit and integration test cases covering school management APIs, student model constraints, and inventory movements. Result: 78/78 tests passed in 5.62s with zero failures.</w:t>
      </w:r>
    </w:p>
    <w:p>
      <w:pPr>
        <w:spacing w:after="60"/>
      </w:pPr>
      <w:r>
        <w:rPr>
          <w:b/>
          <w:sz w:val="18"/>
        </w:rPr>
        <w:t xml:space="preserve">• Django System Check: </w:t>
      </w:r>
      <w:r>
        <w:rPr>
          <w:sz w:val="18"/>
        </w:rPr>
        <w:t>python manage.py check reports: System check identified no issues (0 silenced). Zero misconfigurations or routing warnings.</w:t>
      </w:r>
    </w:p>
    <w:p>
      <w:pPr>
        <w:spacing w:after="60"/>
      </w:pPr>
      <w:r>
        <w:rPr>
          <w:b/>
          <w:sz w:val="18"/>
        </w:rPr>
        <w:t xml:space="preserve">• Architectural Audit: </w:t>
      </w:r>
      <w:r>
        <w:rPr>
          <w:sz w:val="18"/>
        </w:rPr>
        <w:t>Eliminated 52 legacy backup and text dump files (-29,811 lines of dead code), purged 5 empty skeleton apps, and unified QR generator views into a single high-performance handler.</w:t>
      </w:r>
    </w:p>
    <w:p>
      <w:pPr>
        <w:spacing w:after="60"/>
      </w:pPr>
      <w:r>
        <w:rPr>
          <w:b/>
          <w:sz w:val="18"/>
        </w:rPr>
        <w:t xml:space="preserve">• Data Safety Guarantees: </w:t>
      </w:r>
      <w:r>
        <w:rPr>
          <w:sz w:val="18"/>
        </w:rPr>
        <w:t>Atomic transactions (@transaction.atomic) wrap all batch CSV uploads and student distribution workflows, guaranteeing clean rollbacks if unexpected errors occur.</w:t>
      </w:r>
    </w:p>
    <w:p>
      <w:pPr>
        <w:pStyle w:val="Heading2"/>
        <w:keepNext/>
        <w:spacing w:before="260" w:after="80"/>
      </w:pPr>
      <w:r>
        <w:rPr>
          <w:rFonts w:ascii="Segoe UI" w:hAnsi="Segoe UI"/>
          <w:b/>
          <w:color w:val="1E3A8A"/>
          <w:sz w:val="27"/>
        </w:rPr>
        <w:t>7. Engineering Team Share (61 Total Commits)</w:t>
      </w:r>
    </w:p>
    <w:p>
      <w:r>
        <w:t>The platform was engineered over 27 calendar days (August 12 – September 07, 2026) across 14 active development days by two primary software engineers:</w:t>
      </w:r>
    </w:p>
    <w:tbl>
      <w:tblPr>
        <w:tblW w:type="auto" w:w="0"/>
        <w:jc w:val="center"/>
        <w:tblLook w:firstColumn="1" w:firstRow="1" w:lastColumn="0" w:lastRow="0" w:noHBand="0" w:noVBand="1" w:val="04A0"/>
        <w:tblBorders>
          <w:top w:val="single" w:sz="4" w:space="0" w:color="E2E8F0"/>
          <w:bottom w:val="single" w:sz="4" w:space="0" w:color="E2E8F0"/>
          <w:left w:val="none" w:sz="0" w:space="0" w:color="auto"/>
          <w:right w:val="none" w:sz="0" w:space="0" w:color="auto"/>
          <w:insideH w:val="single" w:sz="4" w:space="0" w:color="E2E8F0"/>
          <w:insideV w:val="none" w:sz="0" w:space="0" w:color="auto"/>
        </w:tblBorders>
      </w:tblPr>
      <w:tblGrid>
        <w:gridCol w:w="2257"/>
        <w:gridCol w:w="2257"/>
        <w:gridCol w:w="2257"/>
        <w:gridCol w:w="2257"/>
      </w:tblGrid>
      <w:tr>
        <w:tc>
          <w:tcPr>
            <w:tcW w:type="dxa" w:w="2592"/>
            <w:vAlign w:val="center"/>
            <w:tcMar>
              <w:top w:w="80" w:type="dxa"/>
              <w:bottom w:w="80" w:type="dxa"/>
              <w:left w:w="120" w:type="dxa"/>
              <w:right w:w="120" w:type="dxa"/>
            </w:tcMar>
            <w:shd w:fill="1E3A8A"/>
          </w:tcPr>
          <w:p>
            <w:pPr>
              <w:spacing w:before="20" w:after="20"/>
            </w:pPr>
            <w:r>
              <w:rPr>
                <w:rFonts w:ascii="Segoe UI" w:hAnsi="Segoe UI"/>
                <w:b/>
                <w:color w:val="FFFFFF"/>
                <w:sz w:val="17"/>
              </w:rPr>
              <w:t>Contributor</w:t>
            </w:r>
          </w:p>
        </w:tc>
        <w:tc>
          <w:tcPr>
            <w:tcW w:type="dxa" w:w="1008"/>
            <w:vAlign w:val="center"/>
            <w:tcMar>
              <w:top w:w="80" w:type="dxa"/>
              <w:bottom w:w="80" w:type="dxa"/>
              <w:left w:w="120" w:type="dxa"/>
              <w:right w:w="120" w:type="dxa"/>
            </w:tcMar>
            <w:shd w:fill="1E3A8A"/>
          </w:tcPr>
          <w:p>
            <w:pPr>
              <w:spacing w:before="20" w:after="20"/>
            </w:pPr>
            <w:r>
              <w:rPr>
                <w:rFonts w:ascii="Segoe UI" w:hAnsi="Segoe UI"/>
                <w:b/>
                <w:color w:val="FFFFFF"/>
                <w:sz w:val="17"/>
              </w:rPr>
              <w:t>Commits</w:t>
            </w:r>
          </w:p>
        </w:tc>
        <w:tc>
          <w:tcPr>
            <w:tcW w:type="dxa" w:w="1008"/>
            <w:vAlign w:val="center"/>
            <w:tcMar>
              <w:top w:w="80" w:type="dxa"/>
              <w:bottom w:w="80" w:type="dxa"/>
              <w:left w:w="120" w:type="dxa"/>
              <w:right w:w="120" w:type="dxa"/>
            </w:tcMar>
            <w:shd w:fill="1E3A8A"/>
          </w:tcPr>
          <w:p>
            <w:pPr>
              <w:spacing w:before="20" w:after="20"/>
            </w:pPr>
            <w:r>
              <w:rPr>
                <w:rFonts w:ascii="Segoe UI" w:hAnsi="Segoe UI"/>
                <w:b/>
                <w:color w:val="FFFFFF"/>
                <w:sz w:val="17"/>
              </w:rPr>
              <w:t>Share</w:t>
            </w:r>
          </w:p>
        </w:tc>
        <w:tc>
          <w:tcPr>
            <w:tcW w:type="dxa" w:w="4421"/>
            <w:vAlign w:val="center"/>
            <w:tcMar>
              <w:top w:w="80" w:type="dxa"/>
              <w:bottom w:w="80" w:type="dxa"/>
              <w:left w:w="120" w:type="dxa"/>
              <w:right w:w="120" w:type="dxa"/>
            </w:tcMar>
            <w:shd w:fill="1E3A8A"/>
          </w:tcPr>
          <w:p>
            <w:pPr>
              <w:spacing w:before="20" w:after="20"/>
            </w:pPr>
            <w:r>
              <w:rPr>
                <w:rFonts w:ascii="Segoe UI" w:hAnsi="Segoe UI"/>
                <w:b/>
                <w:color w:val="FFFFFF"/>
                <w:sz w:val="17"/>
              </w:rPr>
              <w:t>Core Engineering Responsibilities</w:t>
            </w:r>
          </w:p>
        </w:tc>
      </w:tr>
      <w:tr>
        <w:tc>
          <w:tcPr>
            <w:tcW w:type="dxa" w:w="2592"/>
            <w:vAlign w:val="center"/>
            <w:tcMar>
              <w:top w:w="80" w:type="dxa"/>
              <w:bottom w:w="80" w:type="dxa"/>
              <w:left w:w="120" w:type="dxa"/>
              <w:right w:w="120" w:type="dxa"/>
            </w:tcMar>
            <w:shd w:fill="F8FAFC"/>
          </w:tcPr>
          <w:p>
            <w:pPr>
              <w:spacing w:before="20" w:after="20"/>
            </w:pPr>
            <w:r>
              <w:rPr>
                <w:rFonts w:ascii="Segoe UI" w:hAnsi="Segoe UI"/>
                <w:b/>
                <w:color w:val="0F172A"/>
                <w:sz w:val="16"/>
              </w:rPr>
              <w:t>Rishab / Code-Cool-2006</w:t>
            </w:r>
          </w:p>
        </w:tc>
        <w:tc>
          <w:tcPr>
            <w:tcW w:type="dxa" w:w="1008"/>
            <w:vAlign w:val="center"/>
            <w:tcMar>
              <w:top w:w="80" w:type="dxa"/>
              <w:bottom w:w="80" w:type="dxa"/>
              <w:left w:w="120" w:type="dxa"/>
              <w:right w:w="120" w:type="dxa"/>
            </w:tcMar>
            <w:shd w:fill="F8FAFC"/>
          </w:tcPr>
          <w:p>
            <w:pPr>
              <w:spacing w:before="20" w:after="20"/>
            </w:pPr>
            <w:r>
              <w:rPr>
                <w:rFonts w:ascii="Segoe UI" w:hAnsi="Segoe UI"/>
                <w:color w:val="0F172A"/>
                <w:sz w:val="16"/>
              </w:rPr>
              <w:t>42 commits</w:t>
            </w:r>
          </w:p>
        </w:tc>
        <w:tc>
          <w:tcPr>
            <w:tcW w:type="dxa" w:w="1008"/>
            <w:vAlign w:val="center"/>
            <w:tcMar>
              <w:top w:w="80" w:type="dxa"/>
              <w:bottom w:w="80" w:type="dxa"/>
              <w:left w:w="120" w:type="dxa"/>
              <w:right w:w="120" w:type="dxa"/>
            </w:tcMar>
            <w:shd w:fill="F8FAFC"/>
          </w:tcPr>
          <w:p>
            <w:pPr>
              <w:spacing w:before="20" w:after="20"/>
            </w:pPr>
            <w:r>
              <w:rPr>
                <w:rFonts w:ascii="Segoe UI" w:hAnsi="Segoe UI"/>
                <w:b/>
                <w:color w:val="0F172A"/>
                <w:sz w:val="16"/>
              </w:rPr>
              <w:t>69%</w:t>
            </w:r>
          </w:p>
        </w:tc>
        <w:tc>
          <w:tcPr>
            <w:tcW w:type="dxa" w:w="4421"/>
            <w:vAlign w:val="center"/>
            <w:tcMar>
              <w:top w:w="80" w:type="dxa"/>
              <w:bottom w:w="80" w:type="dxa"/>
              <w:left w:w="120" w:type="dxa"/>
              <w:right w:w="120" w:type="dxa"/>
            </w:tcMar>
            <w:shd w:fill="F8FAFC"/>
          </w:tcPr>
          <w:p>
            <w:pPr>
              <w:spacing w:before="20" w:after="20"/>
            </w:pPr>
            <w:r>
              <w:rPr>
                <w:rFonts w:ascii="Segoe UI" w:hAnsi="Segoe UI"/>
                <w:color w:val="0F172A"/>
                <w:sz w:val="16"/>
              </w:rPr>
              <w:t>Lead Architect, UI/UX &amp; Systems Engineer</w:t>
              <w:br/>
              <w:t>Modular REST APIs, UI/UX Design System, School Portal, Automated Test Suite (78 tests), Volunteer Management System, Live QR Generation, Production DevOps (Docker, Render, Whitenoise), Codebase Optimization (-29,811 lines).</w:t>
            </w:r>
          </w:p>
        </w:tc>
      </w:tr>
      <w:tr>
        <w:tc>
          <w:tcPr>
            <w:tcW w:type="dxa" w:w="2592"/>
            <w:vAlign w:val="center"/>
            <w:tcMar>
              <w:top w:w="80" w:type="dxa"/>
              <w:bottom w:w="80" w:type="dxa"/>
              <w:left w:w="120" w:type="dxa"/>
              <w:right w:w="120" w:type="dxa"/>
            </w:tcMar>
            <w:shd w:fill="FFFFFF"/>
          </w:tcPr>
          <w:p>
            <w:pPr>
              <w:spacing w:before="20" w:after="20"/>
            </w:pPr>
            <w:r>
              <w:rPr>
                <w:rFonts w:ascii="Segoe UI" w:hAnsi="Segoe UI"/>
                <w:b/>
                <w:color w:val="0F172A"/>
                <w:sz w:val="16"/>
              </w:rPr>
              <w:t>Saloni Dalvi / salonidalvi-008</w:t>
            </w:r>
          </w:p>
        </w:tc>
        <w:tc>
          <w:tcPr>
            <w:tcW w:type="dxa" w:w="1008"/>
            <w:vAlign w:val="center"/>
            <w:tcMar>
              <w:top w:w="80" w:type="dxa"/>
              <w:bottom w:w="80" w:type="dxa"/>
              <w:left w:w="120" w:type="dxa"/>
              <w:right w:w="120" w:type="dxa"/>
            </w:tcMar>
            <w:shd w:fill="FFFFFF"/>
          </w:tcPr>
          <w:p>
            <w:pPr>
              <w:spacing w:before="20" w:after="20"/>
            </w:pPr>
            <w:r>
              <w:rPr>
                <w:rFonts w:ascii="Segoe UI" w:hAnsi="Segoe UI"/>
                <w:color w:val="0F172A"/>
                <w:sz w:val="16"/>
              </w:rPr>
              <w:t>19 commits</w:t>
            </w:r>
          </w:p>
        </w:tc>
        <w:tc>
          <w:tcPr>
            <w:tcW w:type="dxa" w:w="1008"/>
            <w:vAlign w:val="center"/>
            <w:tcMar>
              <w:top w:w="80" w:type="dxa"/>
              <w:bottom w:w="80" w:type="dxa"/>
              <w:left w:w="120" w:type="dxa"/>
              <w:right w:w="120" w:type="dxa"/>
            </w:tcMar>
            <w:shd w:fill="FFFFFF"/>
          </w:tcPr>
          <w:p>
            <w:pPr>
              <w:spacing w:before="20" w:after="20"/>
            </w:pPr>
            <w:r>
              <w:rPr>
                <w:rFonts w:ascii="Segoe UI" w:hAnsi="Segoe UI"/>
                <w:b/>
                <w:color w:val="0F172A"/>
                <w:sz w:val="16"/>
              </w:rPr>
              <w:t>31%</w:t>
            </w:r>
          </w:p>
        </w:tc>
        <w:tc>
          <w:tcPr>
            <w:tcW w:type="dxa" w:w="4421"/>
            <w:vAlign w:val="center"/>
            <w:tcMar>
              <w:top w:w="80" w:type="dxa"/>
              <w:bottom w:w="80" w:type="dxa"/>
              <w:left w:w="120" w:type="dxa"/>
              <w:right w:w="120" w:type="dxa"/>
            </w:tcMar>
            <w:shd w:fill="FFFFFF"/>
          </w:tcPr>
          <w:p>
            <w:pPr>
              <w:spacing w:before="20" w:after="20"/>
            </w:pPr>
            <w:r>
              <w:rPr>
                <w:rFonts w:ascii="Segoe UI" w:hAnsi="Segoe UI"/>
                <w:color w:val="0F172A"/>
                <w:sz w:val="16"/>
              </w:rPr>
              <w:t>Core Services &amp; Logistics Engineer</w:t>
              <w:br/>
              <w:t>Initial project foundation and core schema scaffolding (13 apps), Benefit distribution services, CourseMaster dynamic streams, Enterprise Microsoft SQL Server integration, Internship Portal, Eligibility bugfixes, Bulk CSV pipelines.</w:t>
            </w:r>
          </w:p>
        </w:tc>
      </w:tr>
    </w:tbl>
    <w:p>
      <w:pPr>
        <w:spacing w:after="280"/>
      </w:pPr>
    </w:p>
    <w:p>
      <w:pPr>
        <w:spacing w:before="320"/>
        <w:jc w:val="center"/>
      </w:pPr>
      <w:r>
        <w:rPr>
          <w:rFonts w:ascii="Segoe UI" w:hAnsi="Segoe UI"/>
          <w:color w:val="64748B"/>
          <w:sz w:val="17"/>
        </w:rPr>
        <w:t>Aequs EduTrack Complete Platform Overview • September 07, 2026</w:t>
        <w:br/>
        <w:t>© 2026 Aequs Foundation. All rights reserved.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