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0F6B6B"/>
          <w:sz w:val="24"/>
        </w:rPr>
        <w:t>CONNECT RATEPLAN</w:t>
      </w:r>
    </w:p>
    <w:p>
      <w:r>
        <w:rPr>
          <w:rFonts w:ascii="Calibri" w:hAnsi="Calibri" w:eastAsia="Calibri"/>
          <w:b/>
          <w:color w:val="1F4E79"/>
          <w:sz w:val="44"/>
        </w:rPr>
        <w:t>API specification</w:t>
      </w:r>
    </w:p>
    <w:p>
      <w:r>
        <w:rPr>
          <w:rFonts w:ascii="Calibri" w:hAnsi="Calibri" w:eastAsia="Calibri"/>
          <w:b w:val="0"/>
          <w:color w:val="444444"/>
          <w:sz w:val="24"/>
        </w:rPr>
        <w:t>REST resources, request rules, and sample bodies taken from dump-elektradb-202610121308.sql.</w:t>
      </w:r>
    </w:p>
    <w:p>
      <w:r>
        <w:rPr>
          <w:rFonts w:ascii="Calibri" w:hAnsi="Calibri" w:eastAsia="Calibri"/>
          <w:b w:val="0"/>
          <w:color w:val="555555"/>
          <w:sz w:val="20"/>
        </w:rPr>
        <w:t>Service: Connect Rateplan microservice, base name connectRateplan</w:t>
      </w:r>
    </w:p>
    <w:p>
      <w:r>
        <w:rPr>
          <w:rFonts w:ascii="Calibri" w:hAnsi="Calibri" w:eastAsia="Calibri"/>
          <w:b w:val="0"/>
          <w:color w:val="555555"/>
          <w:sz w:val="20"/>
        </w:rPr>
        <w:t>Base URL used in examples: http://localhost:9090</w:t>
      </w:r>
    </w:p>
    <w:p>
      <w:r>
        <w:rPr>
          <w:rFonts w:ascii="Calibri" w:hAnsi="Calibri" w:eastAsia="Calibri"/>
          <w:b w:val="0"/>
          <w:color w:val="555555"/>
          <w:sz w:val="20"/>
        </w:rPr>
        <w:t>OpenAPI: http://localhost:9090/v3/api-docs</w:t>
      </w:r>
    </w:p>
    <w:p>
      <w:r>
        <w:rPr>
          <w:rFonts w:ascii="Calibri" w:hAnsi="Calibri" w:eastAsia="Calibri"/>
          <w:b w:val="0"/>
          <w:color w:val="555555"/>
          <w:sz w:val="20"/>
        </w:rPr>
        <w:t>Companion document: Connect Rateplan flow and database model</w:t>
      </w:r>
    </w:p>
    <w:p/>
    <w:p>
      <w:pPr>
        <w:pStyle w:val="Heading1"/>
      </w:pPr>
      <w:r>
        <w:t>1. Contract</w:t>
      </w:r>
    </w:p>
    <w:p>
      <w:pPr>
        <w:spacing w:after="160" w:before="40"/>
      </w:pPr>
      <w:r>
        <w:t>Every business resource is a JSON document. Property names are camelCase. Related rows are nested objects. On create and update, a nested object needs only its id. The server loads the relationship from that id.</w:t>
      </w:r>
    </w:p>
    <w:p>
      <w:pPr>
        <w:spacing w:after="160" w:before="40"/>
      </w:pPr>
      <w:r>
        <w:t>Decimal values are JSON numbers and are stored as decimal(32,12). Dates are yyyy-MM-dd. Timestamps are ISO-8601 instants. The dump stores timestamps without a time zone, for example 2025-06-30 17:52:21.670527. Send those instants with a zone designator, for example 2025-06-30T17:52:21.670527Z. Booleans are true or false. The dump stores them as t and f.</w:t>
      </w:r>
    </w:p>
    <w:p>
      <w:pPr>
        <w:spacing w:after="160" w:before="40"/>
      </w:pPr>
      <w:r>
        <w:t>A create request must not contain id. The service rejects an id on POST with HTTP 400. PUT replaces the row and requires the path id and the body id to be the same existing id. PATCH updates only the fields that are present and non-null; content type is application/json or application/merge-patch+json. DELETE returns 204 with an empty body.</w:t>
      </w:r>
    </w:p>
    <w:p>
      <w:pPr>
        <w:spacing w:after="160" w:before="40"/>
      </w:pPr>
      <w:r>
        <w:t>List operations return a JSON array of every row. They are not paged. GET /api/rateplans and GET /api/zone-labels accept eagerload (default true), which loads the many-to-many collections. GET /api/rateplans also accepts filter=rateplanlcstatemodel-is-null, which returns plans that have no lifecycle-state row.</w:t>
      </w:r>
    </w:p>
    <w:p>
      <w:pPr>
        <w:spacing w:after="160" w:before="40"/>
      </w:pPr>
      <w:r>
        <w:t>String fields are limited to 255 characters. account billing profile saartId is limited to 6 characters. rateplan.name is required and unique. account billing profile tenantId is required, and its billCycle and currency objects are required.</w:t>
      </w:r>
    </w:p>
    <w:p>
      <w:pPr>
        <w:spacing w:after="160" w:before="40"/>
      </w:pPr>
      <w:r>
        <w:t>In the current security configuration, /api/** is permitted without a token. /api/admin/** and the management endpoints other than health, info, and prometheus require authority ROLE_ADMIN. The Kafka register and unregister operations call Principal.getName(), so they need an authenticated caller even though the /api matcher is open.</w:t>
      </w:r>
    </w:p>
    <w:p>
      <w:pPr>
        <w:pStyle w:val="Heading1"/>
      </w:pPr>
      <w:r>
        <w:t>2. Methods on every catalog resource</w:t>
      </w:r>
    </w:p>
    <w:p>
      <w:pPr>
        <w:spacing w:after="160" w:before="40"/>
      </w:pPr>
      <w:r>
        <w:t>Replace {resource} with the path in the resource index. {id} is the bigint identifier.</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val="clear" w:color="auto" w:fill="1F4E79"/>
          </w:tcPr>
          <w:p>
            <w:r/>
            <w:r>
              <w:rPr>
                <w:rFonts w:ascii="Calibri" w:hAnsi="Calibri" w:eastAsia="Calibri"/>
                <w:b/>
                <w:color w:val="FFFFFF"/>
                <w:sz w:val="18"/>
              </w:rPr>
              <w:t>Method</w:t>
            </w:r>
          </w:p>
        </w:tc>
        <w:tc>
          <w:tcPr>
            <w:tcW w:type="dxa" w:w="2494"/>
            <w:shd w:val="clear" w:color="auto" w:fill="1F4E79"/>
          </w:tcPr>
          <w:p>
            <w:r/>
            <w:r>
              <w:rPr>
                <w:rFonts w:ascii="Calibri" w:hAnsi="Calibri" w:eastAsia="Calibri"/>
                <w:b/>
                <w:color w:val="FFFFFF"/>
                <w:sz w:val="18"/>
              </w:rPr>
              <w:t>Path</w:t>
            </w:r>
          </w:p>
        </w:tc>
        <w:tc>
          <w:tcPr>
            <w:tcW w:type="dxa" w:w="2494"/>
            <w:shd w:val="clear" w:color="auto" w:fill="1F4E79"/>
          </w:tcPr>
          <w:p>
            <w:r/>
            <w:r>
              <w:rPr>
                <w:rFonts w:ascii="Calibri" w:hAnsi="Calibri" w:eastAsia="Calibri"/>
                <w:b/>
                <w:color w:val="FFFFFF"/>
                <w:sz w:val="18"/>
              </w:rPr>
              <w:t>Success</w:t>
            </w:r>
          </w:p>
        </w:tc>
        <w:tc>
          <w:tcPr>
            <w:tcW w:type="dxa" w:w="2494"/>
            <w:shd w:val="clear" w:color="auto" w:fill="1F4E79"/>
          </w:tcPr>
          <w:p>
            <w:r/>
            <w:r>
              <w:rPr>
                <w:rFonts w:ascii="Calibri" w:hAnsi="Calibri" w:eastAsia="Calibri"/>
                <w:b/>
                <w:color w:val="FFFFFF"/>
                <w:sz w:val="18"/>
              </w:rPr>
              <w:t>Body</w:t>
            </w:r>
          </w:p>
        </w:tc>
      </w:tr>
      <w:tr>
        <w:tc>
          <w:tcPr>
            <w:tcW w:type="dxa" w:w="2494"/>
          </w:tcPr>
          <w:p>
            <w:r/>
            <w:r>
              <w:rPr>
                <w:rFonts w:ascii="Calibri" w:hAnsi="Calibri" w:eastAsia="Calibri"/>
                <w:b w:val="0"/>
                <w:sz w:val="16"/>
              </w:rPr>
              <w:t>POST</w:t>
            </w:r>
          </w:p>
        </w:tc>
        <w:tc>
          <w:tcPr>
            <w:tcW w:type="dxa" w:w="2494"/>
          </w:tcPr>
          <w:p>
            <w:r/>
            <w:r>
              <w:rPr>
                <w:rFonts w:ascii="Calibri" w:hAnsi="Calibri" w:eastAsia="Calibri"/>
                <w:b w:val="0"/>
                <w:sz w:val="16"/>
              </w:rPr>
              <w:t>/api/{resource}</w:t>
            </w:r>
          </w:p>
        </w:tc>
        <w:tc>
          <w:tcPr>
            <w:tcW w:type="dxa" w:w="2494"/>
          </w:tcPr>
          <w:p>
            <w:r/>
            <w:r>
              <w:rPr>
                <w:rFonts w:ascii="Calibri" w:hAnsi="Calibri" w:eastAsia="Calibri"/>
                <w:b w:val="0"/>
                <w:sz w:val="16"/>
              </w:rPr>
              <w:t>201 Created, Location header</w:t>
            </w:r>
          </w:p>
        </w:tc>
        <w:tc>
          <w:tcPr>
            <w:tcW w:type="dxa" w:w="2494"/>
          </w:tcPr>
          <w:p>
            <w:r/>
            <w:r>
              <w:rPr>
                <w:rFonts w:ascii="Calibri" w:hAnsi="Calibri" w:eastAsia="Calibri"/>
                <w:b w:val="0"/>
                <w:sz w:val="16"/>
              </w:rPr>
              <w:t>New row, no id</w:t>
            </w:r>
          </w:p>
        </w:tc>
      </w:tr>
      <w:tr>
        <w:tc>
          <w:tcPr>
            <w:tcW w:type="dxa" w:w="2494"/>
            <w:shd w:val="clear" w:color="auto" w:fill="F3F7FB"/>
          </w:tcPr>
          <w:p>
            <w:r/>
            <w:r>
              <w:rPr>
                <w:rFonts w:ascii="Calibri" w:hAnsi="Calibri" w:eastAsia="Calibri"/>
                <w:b w:val="0"/>
                <w:sz w:val="16"/>
              </w:rPr>
              <w:t>PUT</w:t>
            </w:r>
          </w:p>
        </w:tc>
        <w:tc>
          <w:tcPr>
            <w:tcW w:type="dxa" w:w="2494"/>
            <w:shd w:val="clear" w:color="auto" w:fill="F3F7FB"/>
          </w:tcPr>
          <w:p>
            <w:r/>
            <w:r>
              <w:rPr>
                <w:rFonts w:ascii="Calibri" w:hAnsi="Calibri" w:eastAsia="Calibri"/>
                <w:b w:val="0"/>
                <w:sz w:val="16"/>
              </w:rPr>
              <w:t>/api/{resource}/{id}</w:t>
            </w:r>
          </w:p>
        </w:tc>
        <w:tc>
          <w:tcPr>
            <w:tcW w:type="dxa" w:w="2494"/>
            <w:shd w:val="clear" w:color="auto" w:fill="F3F7FB"/>
          </w:tcPr>
          <w:p>
            <w:r/>
            <w:r>
              <w:rPr>
                <w:rFonts w:ascii="Calibri" w:hAnsi="Calibri" w:eastAsia="Calibri"/>
                <w:b w:val="0"/>
                <w:sz w:val="16"/>
              </w:rPr>
              <w:t>200</w:t>
            </w:r>
          </w:p>
        </w:tc>
        <w:tc>
          <w:tcPr>
            <w:tcW w:type="dxa" w:w="2494"/>
            <w:shd w:val="clear" w:color="auto" w:fill="F3F7FB"/>
          </w:tcPr>
          <w:p>
            <w:r/>
            <w:r>
              <w:rPr>
                <w:rFonts w:ascii="Calibri" w:hAnsi="Calibri" w:eastAsia="Calibri"/>
                <w:b w:val="0"/>
                <w:sz w:val="16"/>
              </w:rPr>
              <w:t>Full row, body id = path id</w:t>
            </w:r>
          </w:p>
        </w:tc>
      </w:tr>
      <w:tr>
        <w:tc>
          <w:tcPr>
            <w:tcW w:type="dxa" w:w="2494"/>
          </w:tcPr>
          <w:p>
            <w:r/>
            <w:r>
              <w:rPr>
                <w:rFonts w:ascii="Calibri" w:hAnsi="Calibri" w:eastAsia="Calibri"/>
                <w:b w:val="0"/>
                <w:sz w:val="16"/>
              </w:rPr>
              <w:t>PATCH</w:t>
            </w:r>
          </w:p>
        </w:tc>
        <w:tc>
          <w:tcPr>
            <w:tcW w:type="dxa" w:w="2494"/>
          </w:tcPr>
          <w:p>
            <w:r/>
            <w:r>
              <w:rPr>
                <w:rFonts w:ascii="Calibri" w:hAnsi="Calibri" w:eastAsia="Calibri"/>
                <w:b w:val="0"/>
                <w:sz w:val="16"/>
              </w:rPr>
              <w:t>/api/{resource}/{id}</w:t>
            </w:r>
          </w:p>
        </w:tc>
        <w:tc>
          <w:tcPr>
            <w:tcW w:type="dxa" w:w="2494"/>
          </w:tcPr>
          <w:p>
            <w:r/>
            <w:r>
              <w:rPr>
                <w:rFonts w:ascii="Calibri" w:hAnsi="Calibri" w:eastAsia="Calibri"/>
                <w:b w:val="0"/>
                <w:sz w:val="16"/>
              </w:rPr>
              <w:t>200, or 404 if missing</w:t>
            </w:r>
          </w:p>
        </w:tc>
        <w:tc>
          <w:tcPr>
            <w:tcW w:type="dxa" w:w="2494"/>
          </w:tcPr>
          <w:p>
            <w:r/>
            <w:r>
              <w:rPr>
                <w:rFonts w:ascii="Calibri" w:hAnsi="Calibri" w:eastAsia="Calibri"/>
                <w:b w:val="0"/>
                <w:sz w:val="16"/>
              </w:rPr>
              <w:t>Fields to change</w:t>
            </w:r>
          </w:p>
        </w:tc>
      </w:tr>
      <w:tr>
        <w:tc>
          <w:tcPr>
            <w:tcW w:type="dxa" w:w="2494"/>
            <w:shd w:val="clear" w:color="auto" w:fill="F3F7FB"/>
          </w:tcPr>
          <w:p>
            <w:r/>
            <w:r>
              <w:rPr>
                <w:rFonts w:ascii="Calibri" w:hAnsi="Calibri" w:eastAsia="Calibri"/>
                <w:b w:val="0"/>
                <w:sz w:val="16"/>
              </w:rPr>
              <w:t>GET</w:t>
            </w:r>
          </w:p>
        </w:tc>
        <w:tc>
          <w:tcPr>
            <w:tcW w:type="dxa" w:w="2494"/>
            <w:shd w:val="clear" w:color="auto" w:fill="F3F7FB"/>
          </w:tcPr>
          <w:p>
            <w:r/>
            <w:r>
              <w:rPr>
                <w:rFonts w:ascii="Calibri" w:hAnsi="Calibri" w:eastAsia="Calibri"/>
                <w:b w:val="0"/>
                <w:sz w:val="16"/>
              </w:rPr>
              <w:t>/api/{resource}</w:t>
            </w:r>
          </w:p>
        </w:tc>
        <w:tc>
          <w:tcPr>
            <w:tcW w:type="dxa" w:w="2494"/>
            <w:shd w:val="clear" w:color="auto" w:fill="F3F7FB"/>
          </w:tcPr>
          <w:p>
            <w:r/>
            <w:r>
              <w:rPr>
                <w:rFonts w:ascii="Calibri" w:hAnsi="Calibri" w:eastAsia="Calibri"/>
                <w:b w:val="0"/>
                <w:sz w:val="16"/>
              </w:rPr>
              <w:t>200</w:t>
            </w:r>
          </w:p>
        </w:tc>
        <w:tc>
          <w:tcPr>
            <w:tcW w:type="dxa" w:w="2494"/>
            <w:shd w:val="clear" w:color="auto" w:fill="F3F7FB"/>
          </w:tcPr>
          <w:p>
            <w:r/>
            <w:r>
              <w:rPr>
                <w:rFonts w:ascii="Calibri" w:hAnsi="Calibri" w:eastAsia="Calibri"/>
                <w:b w:val="0"/>
                <w:sz w:val="16"/>
              </w:rPr>
              <w:t>JSON array</w:t>
            </w:r>
          </w:p>
        </w:tc>
      </w:tr>
      <w:tr>
        <w:tc>
          <w:tcPr>
            <w:tcW w:type="dxa" w:w="2494"/>
          </w:tcPr>
          <w:p>
            <w:r/>
            <w:r>
              <w:rPr>
                <w:rFonts w:ascii="Calibri" w:hAnsi="Calibri" w:eastAsia="Calibri"/>
                <w:b w:val="0"/>
                <w:sz w:val="16"/>
              </w:rPr>
              <w:t>GET</w:t>
            </w:r>
          </w:p>
        </w:tc>
        <w:tc>
          <w:tcPr>
            <w:tcW w:type="dxa" w:w="2494"/>
          </w:tcPr>
          <w:p>
            <w:r/>
            <w:r>
              <w:rPr>
                <w:rFonts w:ascii="Calibri" w:hAnsi="Calibri" w:eastAsia="Calibri"/>
                <w:b w:val="0"/>
                <w:sz w:val="16"/>
              </w:rPr>
              <w:t>/api/{resource}/{id}</w:t>
            </w:r>
          </w:p>
        </w:tc>
        <w:tc>
          <w:tcPr>
            <w:tcW w:type="dxa" w:w="2494"/>
          </w:tcPr>
          <w:p>
            <w:r/>
            <w:r>
              <w:rPr>
                <w:rFonts w:ascii="Calibri" w:hAnsi="Calibri" w:eastAsia="Calibri"/>
                <w:b w:val="0"/>
                <w:sz w:val="16"/>
              </w:rPr>
              <w:t>200, or 404 if missing</w:t>
            </w:r>
          </w:p>
        </w:tc>
        <w:tc>
          <w:tcPr>
            <w:tcW w:type="dxa" w:w="2494"/>
          </w:tcPr>
          <w:p>
            <w:r/>
            <w:r>
              <w:rPr>
                <w:rFonts w:ascii="Calibri" w:hAnsi="Calibri" w:eastAsia="Calibri"/>
                <w:b w:val="0"/>
                <w:sz w:val="16"/>
              </w:rPr>
              <w:t>One row</w:t>
            </w:r>
          </w:p>
        </w:tc>
      </w:tr>
      <w:tr>
        <w:tc>
          <w:tcPr>
            <w:tcW w:type="dxa" w:w="2494"/>
            <w:shd w:val="clear" w:color="auto" w:fill="F3F7FB"/>
          </w:tcPr>
          <w:p>
            <w:r/>
            <w:r>
              <w:rPr>
                <w:rFonts w:ascii="Calibri" w:hAnsi="Calibri" w:eastAsia="Calibri"/>
                <w:b w:val="0"/>
                <w:sz w:val="16"/>
              </w:rPr>
              <w:t>DELETE</w:t>
            </w:r>
          </w:p>
        </w:tc>
        <w:tc>
          <w:tcPr>
            <w:tcW w:type="dxa" w:w="2494"/>
            <w:shd w:val="clear" w:color="auto" w:fill="F3F7FB"/>
          </w:tcPr>
          <w:p>
            <w:r/>
            <w:r>
              <w:rPr>
                <w:rFonts w:ascii="Calibri" w:hAnsi="Calibri" w:eastAsia="Calibri"/>
                <w:b w:val="0"/>
                <w:sz w:val="16"/>
              </w:rPr>
              <w:t>/api/{resource}/{id}</w:t>
            </w:r>
          </w:p>
        </w:tc>
        <w:tc>
          <w:tcPr>
            <w:tcW w:type="dxa" w:w="2494"/>
            <w:shd w:val="clear" w:color="auto" w:fill="F3F7FB"/>
          </w:tcPr>
          <w:p>
            <w:r/>
            <w:r>
              <w:rPr>
                <w:rFonts w:ascii="Calibri" w:hAnsi="Calibri" w:eastAsia="Calibri"/>
                <w:b w:val="0"/>
                <w:sz w:val="16"/>
              </w:rPr>
              <w:t>204</w:t>
            </w:r>
          </w:p>
        </w:tc>
        <w:tc>
          <w:tcPr>
            <w:tcW w:type="dxa" w:w="2494"/>
            <w:shd w:val="clear" w:color="auto" w:fill="F3F7FB"/>
          </w:tcPr>
          <w:p>
            <w:r/>
            <w:r>
              <w:rPr>
                <w:rFonts w:ascii="Calibri" w:hAnsi="Calibri" w:eastAsia="Calibri"/>
                <w:b w:val="0"/>
                <w:sz w:val="16"/>
              </w:rPr>
              <w:t>Empty</w:t>
            </w:r>
          </w:p>
        </w:tc>
      </w:tr>
    </w:tbl>
    <w:p/>
    <w:p>
      <w:pPr>
        <w:spacing w:after="160" w:before="40"/>
      </w:pPr>
      <w:r>
        <w:t>Success responses for POST, PUT, and PATCH also set X-connectRateplan-alert and X-connectRateplan-params. The alert text for a create is: A new {entityName} is created with identifier {id}. The params header is the id.</w:t>
      </w:r>
    </w:p>
    <w:p>
      <w:pPr>
        <w:pStyle w:val="Heading1"/>
      </w:pPr>
      <w:r>
        <w:t>3. Errors</w:t>
      </w:r>
    </w:p>
    <w:p>
      <w:pPr>
        <w:spacing w:after="160" w:before="40"/>
      </w:pPr>
      <w:r>
        <w:t>Errors use RFC 7807 problem details. A create that already has an id:</w:t>
      </w:r>
    </w:p>
    <w:p>
      <w:pPr>
        <w:spacing w:before="80" w:after="160"/>
        <w:ind w:left="72"/>
        <w:shd w:val="clear" w:color="auto" w:fill="F4F6F8"/>
      </w:pPr>
      <w:r>
        <w:rPr>
          <w:rFonts w:ascii="Consolas" w:hAnsi="Consolas" w:eastAsia="Consolas"/>
          <w:b w:val="0"/>
          <w:sz w:val="16"/>
        </w:rPr>
        <w:t>HTTP/1.1 400 Bad Request</w:t>
        <w:br/>
        <w:t>Content-Type: application/problem+json</w:t>
        <w:br/>
        <w:br/>
        <w:t>{</w:t>
        <w:br/>
        <w:t xml:space="preserve">  "type": "https://www.jhipster.tech/problem/problem-with-message",</w:t>
        <w:br/>
        <w:t xml:space="preserve">  "title": "Bad Request",</w:t>
        <w:br/>
        <w:t xml:space="preserve">  "status": 400,</w:t>
        <w:br/>
        <w:t xml:space="preserve">  "detail": "A new rateplan cannot already have an ID",</w:t>
        <w:br/>
        <w:t xml:space="preserve">  "message": "error.idexists",</w:t>
        <w:br/>
        <w:t xml:space="preserve">  "params": "connectRateplanRateplan"</w:t>
        <w:br/>
        <w:t>}</w:t>
      </w:r>
    </w:p>
    <w:p>
      <w:pPr>
        <w:spacing w:after="160" w:before="40"/>
      </w:pPr>
      <w:r>
        <w:t>Other 400 messages from the same handler: Invalid id (error.idnull) when the body id is missing on PUT or PATCH, Invalid ID (error.idinvalid) when the path id and body id differ, and Entity not found (error.idnotfound) when PUT targets an id that is not stored. A missing required field, or a string longer than its maximum, returns 400 with type https://www.jhipster.tech/problem/constraint-violation. GET of an unknown id returns 404.</w:t>
      </w:r>
    </w:p>
    <w:p>
      <w:pPr>
        <w:pStyle w:val="Heading1"/>
      </w:pPr>
      <w:r>
        <w:t>4. Resource index</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Resource</w:t>
            </w:r>
          </w:p>
        </w:tc>
        <w:tc>
          <w:tcPr>
            <w:tcW w:type="dxa" w:w="3326"/>
            <w:shd w:val="clear" w:color="auto" w:fill="1F4E79"/>
          </w:tcPr>
          <w:p>
            <w:r/>
            <w:r>
              <w:rPr>
                <w:rFonts w:ascii="Calibri" w:hAnsi="Calibri" w:eastAsia="Calibri"/>
                <w:b/>
                <w:color w:val="FFFFFF"/>
                <w:sz w:val="18"/>
              </w:rPr>
              <w:t>Path</w:t>
            </w:r>
          </w:p>
        </w:tc>
        <w:tc>
          <w:tcPr>
            <w:tcW w:type="dxa" w:w="3326"/>
            <w:shd w:val="clear" w:color="auto" w:fill="1F4E79"/>
          </w:tcPr>
          <w:p>
            <w:r/>
            <w:r>
              <w:rPr>
                <w:rFonts w:ascii="Calibri" w:hAnsi="Calibri" w:eastAsia="Calibri"/>
                <w:b/>
                <w:color w:val="FFFFFF"/>
                <w:sz w:val="18"/>
              </w:rPr>
              <w:t>Dump rows</w:t>
            </w:r>
          </w:p>
        </w:tc>
      </w:tr>
      <w:tr>
        <w:tc>
          <w:tcPr>
            <w:tcW w:type="dxa" w:w="3326"/>
          </w:tcPr>
          <w:p>
            <w:r/>
            <w:r>
              <w:rPr>
                <w:rFonts w:ascii="Calibri" w:hAnsi="Calibri" w:eastAsia="Calibri"/>
                <w:b w:val="0"/>
                <w:sz w:val="16"/>
              </w:rPr>
              <w:t>Currency</w:t>
            </w:r>
          </w:p>
        </w:tc>
        <w:tc>
          <w:tcPr>
            <w:tcW w:type="dxa" w:w="3326"/>
          </w:tcPr>
          <w:p>
            <w:r/>
            <w:r>
              <w:rPr>
                <w:rFonts w:ascii="Calibri" w:hAnsi="Calibri" w:eastAsia="Calibri"/>
                <w:b w:val="0"/>
                <w:sz w:val="16"/>
              </w:rPr>
              <w:t>/api/currencies</w:t>
            </w:r>
          </w:p>
        </w:tc>
        <w:tc>
          <w:tcPr>
            <w:tcW w:type="dxa" w:w="3326"/>
          </w:tcPr>
          <w:p>
            <w:r/>
            <w:r>
              <w:rPr>
                <w:rFonts w:ascii="Calibri" w:hAnsi="Calibri" w:eastAsia="Calibri"/>
                <w:b w:val="0"/>
                <w:sz w:val="16"/>
              </w:rPr>
              <w:t>29</w:t>
            </w:r>
          </w:p>
        </w:tc>
      </w:tr>
      <w:tr>
        <w:tc>
          <w:tcPr>
            <w:tcW w:type="dxa" w:w="3326"/>
            <w:shd w:val="clear" w:color="auto" w:fill="F3F7FB"/>
          </w:tcPr>
          <w:p>
            <w:r/>
            <w:r>
              <w:rPr>
                <w:rFonts w:ascii="Calibri" w:hAnsi="Calibri" w:eastAsia="Calibri"/>
                <w:b w:val="0"/>
                <w:sz w:val="16"/>
              </w:rPr>
              <w:t>Country</w:t>
            </w:r>
          </w:p>
        </w:tc>
        <w:tc>
          <w:tcPr>
            <w:tcW w:type="dxa" w:w="3326"/>
            <w:shd w:val="clear" w:color="auto" w:fill="F3F7FB"/>
          </w:tcPr>
          <w:p>
            <w:r/>
            <w:r>
              <w:rPr>
                <w:rFonts w:ascii="Calibri" w:hAnsi="Calibri" w:eastAsia="Calibri"/>
                <w:b w:val="0"/>
                <w:sz w:val="16"/>
              </w:rPr>
              <w:t>/api/countries</w:t>
            </w:r>
          </w:p>
        </w:tc>
        <w:tc>
          <w:tcPr>
            <w:tcW w:type="dxa" w:w="3326"/>
            <w:shd w:val="clear" w:color="auto" w:fill="F3F7FB"/>
          </w:tcPr>
          <w:p>
            <w:r/>
            <w:r>
              <w:rPr>
                <w:rFonts w:ascii="Calibri" w:hAnsi="Calibri" w:eastAsia="Calibri"/>
                <w:b w:val="0"/>
                <w:sz w:val="16"/>
              </w:rPr>
              <w:t>51</w:t>
            </w:r>
          </w:p>
        </w:tc>
      </w:tr>
      <w:tr>
        <w:tc>
          <w:tcPr>
            <w:tcW w:type="dxa" w:w="3326"/>
          </w:tcPr>
          <w:p>
            <w:r/>
            <w:r>
              <w:rPr>
                <w:rFonts w:ascii="Calibri" w:hAnsi="Calibri" w:eastAsia="Calibri"/>
                <w:b w:val="0"/>
                <w:sz w:val="16"/>
              </w:rPr>
              <w:t>TADIG code</w:t>
            </w:r>
          </w:p>
        </w:tc>
        <w:tc>
          <w:tcPr>
            <w:tcW w:type="dxa" w:w="3326"/>
          </w:tcPr>
          <w:p>
            <w:r/>
            <w:r>
              <w:rPr>
                <w:rFonts w:ascii="Calibri" w:hAnsi="Calibri" w:eastAsia="Calibri"/>
                <w:b w:val="0"/>
                <w:sz w:val="16"/>
              </w:rPr>
              <w:t>/api/tadig-codes</w:t>
            </w:r>
          </w:p>
        </w:tc>
        <w:tc>
          <w:tcPr>
            <w:tcW w:type="dxa" w:w="3326"/>
          </w:tcPr>
          <w:p>
            <w:r/>
            <w:r>
              <w:rPr>
                <w:rFonts w:ascii="Calibri" w:hAnsi="Calibri" w:eastAsia="Calibri"/>
                <w:b w:val="0"/>
                <w:sz w:val="16"/>
              </w:rPr>
              <w:t>870</w:t>
            </w:r>
          </w:p>
        </w:tc>
      </w:tr>
      <w:tr>
        <w:tc>
          <w:tcPr>
            <w:tcW w:type="dxa" w:w="3326"/>
            <w:shd w:val="clear" w:color="auto" w:fill="F3F7FB"/>
          </w:tcPr>
          <w:p>
            <w:r/>
            <w:r>
              <w:rPr>
                <w:rFonts w:ascii="Calibri" w:hAnsi="Calibri" w:eastAsia="Calibri"/>
                <w:b w:val="0"/>
                <w:sz w:val="16"/>
              </w:rPr>
              <w:t>Network identity</w:t>
            </w:r>
          </w:p>
        </w:tc>
        <w:tc>
          <w:tcPr>
            <w:tcW w:type="dxa" w:w="3326"/>
            <w:shd w:val="clear" w:color="auto" w:fill="F3F7FB"/>
          </w:tcPr>
          <w:p>
            <w:r/>
            <w:r>
              <w:rPr>
                <w:rFonts w:ascii="Calibri" w:hAnsi="Calibri" w:eastAsia="Calibri"/>
                <w:b w:val="0"/>
                <w:sz w:val="16"/>
              </w:rPr>
              <w:t>/api/network-identities</w:t>
            </w:r>
          </w:p>
        </w:tc>
        <w:tc>
          <w:tcPr>
            <w:tcW w:type="dxa" w:w="3326"/>
            <w:shd w:val="clear" w:color="auto" w:fill="F3F7FB"/>
          </w:tcPr>
          <w:p>
            <w:r/>
            <w:r>
              <w:rPr>
                <w:rFonts w:ascii="Calibri" w:hAnsi="Calibri" w:eastAsia="Calibri"/>
                <w:b w:val="0"/>
                <w:sz w:val="16"/>
              </w:rPr>
              <w:t>941</w:t>
            </w:r>
          </w:p>
        </w:tc>
      </w:tr>
      <w:tr>
        <w:tc>
          <w:tcPr>
            <w:tcW w:type="dxa" w:w="3326"/>
          </w:tcPr>
          <w:p>
            <w:r/>
            <w:r>
              <w:rPr>
                <w:rFonts w:ascii="Calibri" w:hAnsi="Calibri" w:eastAsia="Calibri"/>
                <w:b w:val="0"/>
                <w:sz w:val="16"/>
              </w:rPr>
              <w:t>Unit type</w:t>
            </w:r>
          </w:p>
        </w:tc>
        <w:tc>
          <w:tcPr>
            <w:tcW w:type="dxa" w:w="3326"/>
          </w:tcPr>
          <w:p>
            <w:r/>
            <w:r>
              <w:rPr>
                <w:rFonts w:ascii="Calibri" w:hAnsi="Calibri" w:eastAsia="Calibri"/>
                <w:b w:val="0"/>
                <w:sz w:val="16"/>
              </w:rPr>
              <w:t>/api/unit-types</w:t>
            </w:r>
          </w:p>
        </w:tc>
        <w:tc>
          <w:tcPr>
            <w:tcW w:type="dxa" w:w="3326"/>
          </w:tcPr>
          <w:p>
            <w:r/>
            <w:r>
              <w:rPr>
                <w:rFonts w:ascii="Calibri" w:hAnsi="Calibri" w:eastAsia="Calibri"/>
                <w:b w:val="0"/>
                <w:sz w:val="16"/>
              </w:rPr>
              <w:t>9</w:t>
            </w:r>
          </w:p>
        </w:tc>
      </w:tr>
      <w:tr>
        <w:tc>
          <w:tcPr>
            <w:tcW w:type="dxa" w:w="3326"/>
            <w:shd w:val="clear" w:color="auto" w:fill="F3F7FB"/>
          </w:tcPr>
          <w:p>
            <w:r/>
            <w:r>
              <w:rPr>
                <w:rFonts w:ascii="Calibri" w:hAnsi="Calibri" w:eastAsia="Calibri"/>
                <w:b w:val="0"/>
                <w:sz w:val="16"/>
              </w:rPr>
              <w:t>Lifecycle</w:t>
            </w:r>
          </w:p>
        </w:tc>
        <w:tc>
          <w:tcPr>
            <w:tcW w:type="dxa" w:w="3326"/>
            <w:shd w:val="clear" w:color="auto" w:fill="F3F7FB"/>
          </w:tcPr>
          <w:p>
            <w:r/>
            <w:r>
              <w:rPr>
                <w:rFonts w:ascii="Calibri" w:hAnsi="Calibri" w:eastAsia="Calibri"/>
                <w:b w:val="0"/>
                <w:sz w:val="16"/>
              </w:rPr>
              <w:t>/api/lifecycles</w:t>
            </w:r>
          </w:p>
        </w:tc>
        <w:tc>
          <w:tcPr>
            <w:tcW w:type="dxa" w:w="3326"/>
            <w:shd w:val="clear" w:color="auto" w:fill="F3F7FB"/>
          </w:tcPr>
          <w:p>
            <w:r/>
            <w:r>
              <w:rPr>
                <w:rFonts w:ascii="Calibri" w:hAnsi="Calibri" w:eastAsia="Calibri"/>
                <w:b w:val="0"/>
                <w:sz w:val="16"/>
              </w:rPr>
              <w:t>1</w:t>
            </w:r>
          </w:p>
        </w:tc>
      </w:tr>
      <w:tr>
        <w:tc>
          <w:tcPr>
            <w:tcW w:type="dxa" w:w="3326"/>
          </w:tcPr>
          <w:p>
            <w:r/>
            <w:r>
              <w:rPr>
                <w:rFonts w:ascii="Calibri" w:hAnsi="Calibri" w:eastAsia="Calibri"/>
                <w:b w:val="0"/>
                <w:sz w:val="16"/>
              </w:rPr>
              <w:t>State</w:t>
            </w:r>
          </w:p>
        </w:tc>
        <w:tc>
          <w:tcPr>
            <w:tcW w:type="dxa" w:w="3326"/>
          </w:tcPr>
          <w:p>
            <w:r/>
            <w:r>
              <w:rPr>
                <w:rFonts w:ascii="Calibri" w:hAnsi="Calibri" w:eastAsia="Calibri"/>
                <w:b w:val="0"/>
                <w:sz w:val="16"/>
              </w:rPr>
              <w:t>/api/states</w:t>
            </w:r>
          </w:p>
        </w:tc>
        <w:tc>
          <w:tcPr>
            <w:tcW w:type="dxa" w:w="3326"/>
          </w:tcPr>
          <w:p>
            <w:r/>
            <w:r>
              <w:rPr>
                <w:rFonts w:ascii="Calibri" w:hAnsi="Calibri" w:eastAsia="Calibri"/>
                <w:b w:val="0"/>
                <w:sz w:val="16"/>
              </w:rPr>
              <w:t>6</w:t>
            </w:r>
          </w:p>
        </w:tc>
      </w:tr>
      <w:tr>
        <w:tc>
          <w:tcPr>
            <w:tcW w:type="dxa" w:w="3326"/>
            <w:shd w:val="clear" w:color="auto" w:fill="F3F7FB"/>
          </w:tcPr>
          <w:p>
            <w:r/>
            <w:r>
              <w:rPr>
                <w:rFonts w:ascii="Calibri" w:hAnsi="Calibri" w:eastAsia="Calibri"/>
                <w:b w:val="0"/>
                <w:sz w:val="16"/>
              </w:rPr>
              <w:t>State transition</w:t>
            </w:r>
          </w:p>
        </w:tc>
        <w:tc>
          <w:tcPr>
            <w:tcW w:type="dxa" w:w="3326"/>
            <w:shd w:val="clear" w:color="auto" w:fill="F3F7FB"/>
          </w:tcPr>
          <w:p>
            <w:r/>
            <w:r>
              <w:rPr>
                <w:rFonts w:ascii="Calibri" w:hAnsi="Calibri" w:eastAsia="Calibri"/>
                <w:b w:val="0"/>
                <w:sz w:val="16"/>
              </w:rPr>
              <w:t>/api/state-transitions</w:t>
            </w:r>
          </w:p>
        </w:tc>
        <w:tc>
          <w:tcPr>
            <w:tcW w:type="dxa" w:w="3326"/>
            <w:shd w:val="clear" w:color="auto" w:fill="F3F7FB"/>
          </w:tcPr>
          <w:p>
            <w:r/>
            <w:r>
              <w:rPr>
                <w:rFonts w:ascii="Calibri" w:hAnsi="Calibri" w:eastAsia="Calibri"/>
                <w:b w:val="0"/>
                <w:sz w:val="16"/>
              </w:rPr>
              <w:t>10</w:t>
            </w:r>
          </w:p>
        </w:tc>
      </w:tr>
      <w:tr>
        <w:tc>
          <w:tcPr>
            <w:tcW w:type="dxa" w:w="3326"/>
          </w:tcPr>
          <w:p>
            <w:r/>
            <w:r>
              <w:rPr>
                <w:rFonts w:ascii="Calibri" w:hAnsi="Calibri" w:eastAsia="Calibri"/>
                <w:b w:val="0"/>
                <w:sz w:val="16"/>
              </w:rPr>
              <w:t>Billing cycle</w:t>
            </w:r>
          </w:p>
        </w:tc>
        <w:tc>
          <w:tcPr>
            <w:tcW w:type="dxa" w:w="3326"/>
          </w:tcPr>
          <w:p>
            <w:r/>
            <w:r>
              <w:rPr>
                <w:rFonts w:ascii="Calibri" w:hAnsi="Calibri" w:eastAsia="Calibri"/>
                <w:b w:val="0"/>
                <w:sz w:val="16"/>
              </w:rPr>
              <w:t>/api/billing-cycles</w:t>
            </w:r>
          </w:p>
        </w:tc>
        <w:tc>
          <w:tcPr>
            <w:tcW w:type="dxa" w:w="3326"/>
          </w:tcPr>
          <w:p>
            <w:r/>
            <w:r>
              <w:rPr>
                <w:rFonts w:ascii="Calibri" w:hAnsi="Calibri" w:eastAsia="Calibri"/>
                <w:b w:val="0"/>
                <w:sz w:val="16"/>
              </w:rPr>
              <w:t>16</w:t>
            </w:r>
          </w:p>
        </w:tc>
      </w:tr>
      <w:tr>
        <w:tc>
          <w:tcPr>
            <w:tcW w:type="dxa" w:w="3326"/>
            <w:shd w:val="clear" w:color="auto" w:fill="F3F7FB"/>
          </w:tcPr>
          <w:p>
            <w:r/>
            <w:r>
              <w:rPr>
                <w:rFonts w:ascii="Calibri" w:hAnsi="Calibri" w:eastAsia="Calibri"/>
                <w:b w:val="0"/>
                <w:sz w:val="16"/>
              </w:rPr>
              <w:t>Account billing profile</w:t>
            </w:r>
          </w:p>
        </w:tc>
        <w:tc>
          <w:tcPr>
            <w:tcW w:type="dxa" w:w="3326"/>
            <w:shd w:val="clear" w:color="auto" w:fill="F3F7FB"/>
          </w:tcPr>
          <w:p>
            <w:r/>
            <w:r>
              <w:rPr>
                <w:rFonts w:ascii="Calibri" w:hAnsi="Calibri" w:eastAsia="Calibri"/>
                <w:b w:val="0"/>
                <w:sz w:val="16"/>
              </w:rPr>
              <w:t>/api/account-billing-profiles</w:t>
            </w:r>
          </w:p>
        </w:tc>
        <w:tc>
          <w:tcPr>
            <w:tcW w:type="dxa" w:w="3326"/>
            <w:shd w:val="clear" w:color="auto" w:fill="F3F7FB"/>
          </w:tcPr>
          <w:p>
            <w:r/>
            <w:r>
              <w:rPr>
                <w:rFonts w:ascii="Calibri" w:hAnsi="Calibri" w:eastAsia="Calibri"/>
                <w:b w:val="0"/>
                <w:sz w:val="16"/>
              </w:rPr>
              <w:t>276</w:t>
            </w:r>
          </w:p>
        </w:tc>
      </w:tr>
      <w:tr>
        <w:tc>
          <w:tcPr>
            <w:tcW w:type="dxa" w:w="3326"/>
          </w:tcPr>
          <w:p>
            <w:r/>
            <w:r>
              <w:rPr>
                <w:rFonts w:ascii="Calibri" w:hAnsi="Calibri" w:eastAsia="Calibri"/>
                <w:b w:val="0"/>
                <w:sz w:val="16"/>
              </w:rPr>
              <w:t>Master offer</w:t>
            </w:r>
          </w:p>
        </w:tc>
        <w:tc>
          <w:tcPr>
            <w:tcW w:type="dxa" w:w="3326"/>
          </w:tcPr>
          <w:p>
            <w:r/>
            <w:r>
              <w:rPr>
                <w:rFonts w:ascii="Calibri" w:hAnsi="Calibri" w:eastAsia="Calibri"/>
                <w:b w:val="0"/>
                <w:sz w:val="16"/>
              </w:rPr>
              <w:t>/api/master-offer-ids</w:t>
            </w:r>
          </w:p>
        </w:tc>
        <w:tc>
          <w:tcPr>
            <w:tcW w:type="dxa" w:w="3326"/>
          </w:tcPr>
          <w:p>
            <w:r/>
            <w:r>
              <w:rPr>
                <w:rFonts w:ascii="Calibri" w:hAnsi="Calibri" w:eastAsia="Calibri"/>
                <w:b w:val="0"/>
                <w:sz w:val="16"/>
              </w:rPr>
              <w:t>0</w:t>
            </w:r>
          </w:p>
        </w:tc>
      </w:tr>
      <w:tr>
        <w:tc>
          <w:tcPr>
            <w:tcW w:type="dxa" w:w="3326"/>
            <w:shd w:val="clear" w:color="auto" w:fill="F3F7FB"/>
          </w:tcPr>
          <w:p>
            <w:r/>
            <w:r>
              <w:rPr>
                <w:rFonts w:ascii="Calibri" w:hAnsi="Calibri" w:eastAsia="Calibri"/>
                <w:b w:val="0"/>
                <w:sz w:val="16"/>
              </w:rPr>
              <w:t>Zone label</w:t>
            </w:r>
          </w:p>
        </w:tc>
        <w:tc>
          <w:tcPr>
            <w:tcW w:type="dxa" w:w="3326"/>
            <w:shd w:val="clear" w:color="auto" w:fill="F3F7FB"/>
          </w:tcPr>
          <w:p>
            <w:r/>
            <w:r>
              <w:rPr>
                <w:rFonts w:ascii="Calibri" w:hAnsi="Calibri" w:eastAsia="Calibri"/>
                <w:b w:val="0"/>
                <w:sz w:val="16"/>
              </w:rPr>
              <w:t>/api/zone-labels</w:t>
            </w:r>
          </w:p>
        </w:tc>
        <w:tc>
          <w:tcPr>
            <w:tcW w:type="dxa" w:w="3326"/>
            <w:shd w:val="clear" w:color="auto" w:fill="F3F7FB"/>
          </w:tcPr>
          <w:p>
            <w:r/>
            <w:r>
              <w:rPr>
                <w:rFonts w:ascii="Calibri" w:hAnsi="Calibri" w:eastAsia="Calibri"/>
                <w:b w:val="0"/>
                <w:sz w:val="16"/>
              </w:rPr>
              <w:t>19</w:t>
            </w:r>
          </w:p>
        </w:tc>
      </w:tr>
      <w:tr>
        <w:tc>
          <w:tcPr>
            <w:tcW w:type="dxa" w:w="3326"/>
          </w:tcPr>
          <w:p>
            <w:r/>
            <w:r>
              <w:rPr>
                <w:rFonts w:ascii="Calibri" w:hAnsi="Calibri" w:eastAsia="Calibri"/>
                <w:b w:val="0"/>
                <w:sz w:val="16"/>
              </w:rPr>
              <w:t>Time interval</w:t>
            </w:r>
          </w:p>
        </w:tc>
        <w:tc>
          <w:tcPr>
            <w:tcW w:type="dxa" w:w="3326"/>
          </w:tcPr>
          <w:p>
            <w:r/>
            <w:r>
              <w:rPr>
                <w:rFonts w:ascii="Calibri" w:hAnsi="Calibri" w:eastAsia="Calibri"/>
                <w:b w:val="0"/>
                <w:sz w:val="16"/>
              </w:rPr>
              <w:t>/api/time-intervals</w:t>
            </w:r>
          </w:p>
        </w:tc>
        <w:tc>
          <w:tcPr>
            <w:tcW w:type="dxa" w:w="3326"/>
          </w:tcPr>
          <w:p>
            <w:r/>
            <w:r>
              <w:rPr>
                <w:rFonts w:ascii="Calibri" w:hAnsi="Calibri" w:eastAsia="Calibri"/>
                <w:b w:val="0"/>
                <w:sz w:val="16"/>
              </w:rPr>
              <w:t>4</w:t>
            </w:r>
          </w:p>
        </w:tc>
      </w:tr>
      <w:tr>
        <w:tc>
          <w:tcPr>
            <w:tcW w:type="dxa" w:w="3326"/>
            <w:shd w:val="clear" w:color="auto" w:fill="F3F7FB"/>
          </w:tcPr>
          <w:p>
            <w:r/>
            <w:r>
              <w:rPr>
                <w:rFonts w:ascii="Calibri" w:hAnsi="Calibri" w:eastAsia="Calibri"/>
                <w:b w:val="0"/>
                <w:sz w:val="16"/>
              </w:rPr>
              <w:t>Time slot</w:t>
            </w:r>
          </w:p>
        </w:tc>
        <w:tc>
          <w:tcPr>
            <w:tcW w:type="dxa" w:w="3326"/>
            <w:shd w:val="clear" w:color="auto" w:fill="F3F7FB"/>
          </w:tcPr>
          <w:p>
            <w:r/>
            <w:r>
              <w:rPr>
                <w:rFonts w:ascii="Calibri" w:hAnsi="Calibri" w:eastAsia="Calibri"/>
                <w:b w:val="0"/>
                <w:sz w:val="16"/>
              </w:rPr>
              <w:t>/api/time-slots</w:t>
            </w:r>
          </w:p>
        </w:tc>
        <w:tc>
          <w:tcPr>
            <w:tcW w:type="dxa" w:w="3326"/>
            <w:shd w:val="clear" w:color="auto" w:fill="F3F7FB"/>
          </w:tcPr>
          <w:p>
            <w:r/>
            <w:r>
              <w:rPr>
                <w:rFonts w:ascii="Calibri" w:hAnsi="Calibri" w:eastAsia="Calibri"/>
                <w:b w:val="0"/>
                <w:sz w:val="16"/>
              </w:rPr>
              <w:t>3</w:t>
            </w:r>
          </w:p>
        </w:tc>
      </w:tr>
      <w:tr>
        <w:tc>
          <w:tcPr>
            <w:tcW w:type="dxa" w:w="3326"/>
          </w:tcPr>
          <w:p>
            <w:r/>
            <w:r>
              <w:rPr>
                <w:rFonts w:ascii="Calibri" w:hAnsi="Calibri" w:eastAsia="Calibri"/>
                <w:b w:val="0"/>
                <w:sz w:val="16"/>
              </w:rPr>
              <w:t>Rating group</w:t>
            </w:r>
          </w:p>
        </w:tc>
        <w:tc>
          <w:tcPr>
            <w:tcW w:type="dxa" w:w="3326"/>
          </w:tcPr>
          <w:p>
            <w:r/>
            <w:r>
              <w:rPr>
                <w:rFonts w:ascii="Calibri" w:hAnsi="Calibri" w:eastAsia="Calibri"/>
                <w:b w:val="0"/>
                <w:sz w:val="16"/>
              </w:rPr>
              <w:t>/api/rating-groups</w:t>
            </w:r>
          </w:p>
        </w:tc>
        <w:tc>
          <w:tcPr>
            <w:tcW w:type="dxa" w:w="3326"/>
          </w:tcPr>
          <w:p>
            <w:r/>
            <w:r>
              <w:rPr>
                <w:rFonts w:ascii="Calibri" w:hAnsi="Calibri" w:eastAsia="Calibri"/>
                <w:b w:val="0"/>
                <w:sz w:val="16"/>
              </w:rPr>
              <w:t>3</w:t>
            </w:r>
          </w:p>
        </w:tc>
      </w:tr>
      <w:tr>
        <w:tc>
          <w:tcPr>
            <w:tcW w:type="dxa" w:w="3326"/>
            <w:shd w:val="clear" w:color="auto" w:fill="F3F7FB"/>
          </w:tcPr>
          <w:p>
            <w:r/>
            <w:r>
              <w:rPr>
                <w:rFonts w:ascii="Calibri" w:hAnsi="Calibri" w:eastAsia="Calibri"/>
                <w:b w:val="0"/>
                <w:sz w:val="16"/>
              </w:rPr>
              <w:t>Rate plan</w:t>
            </w:r>
          </w:p>
        </w:tc>
        <w:tc>
          <w:tcPr>
            <w:tcW w:type="dxa" w:w="3326"/>
            <w:shd w:val="clear" w:color="auto" w:fill="F3F7FB"/>
          </w:tcPr>
          <w:p>
            <w:r/>
            <w:r>
              <w:rPr>
                <w:rFonts w:ascii="Calibri" w:hAnsi="Calibri" w:eastAsia="Calibri"/>
                <w:b w:val="0"/>
                <w:sz w:val="16"/>
              </w:rPr>
              <w:t>/api/rateplans</w:t>
            </w:r>
          </w:p>
        </w:tc>
        <w:tc>
          <w:tcPr>
            <w:tcW w:type="dxa" w:w="3326"/>
            <w:shd w:val="clear" w:color="auto" w:fill="F3F7FB"/>
          </w:tcPr>
          <w:p>
            <w:r/>
            <w:r>
              <w:rPr>
                <w:rFonts w:ascii="Calibri" w:hAnsi="Calibri" w:eastAsia="Calibri"/>
                <w:b w:val="0"/>
                <w:sz w:val="16"/>
              </w:rPr>
              <w:t>218</w:t>
            </w:r>
          </w:p>
        </w:tc>
      </w:tr>
      <w:tr>
        <w:tc>
          <w:tcPr>
            <w:tcW w:type="dxa" w:w="3326"/>
          </w:tcPr>
          <w:p>
            <w:r/>
            <w:r>
              <w:rPr>
                <w:rFonts w:ascii="Calibri" w:hAnsi="Calibri" w:eastAsia="Calibri"/>
                <w:b w:val="0"/>
                <w:sz w:val="16"/>
              </w:rPr>
              <w:t>Zone label priority</w:t>
            </w:r>
          </w:p>
        </w:tc>
        <w:tc>
          <w:tcPr>
            <w:tcW w:type="dxa" w:w="3326"/>
          </w:tcPr>
          <w:p>
            <w:r/>
            <w:r>
              <w:rPr>
                <w:rFonts w:ascii="Calibri" w:hAnsi="Calibri" w:eastAsia="Calibri"/>
                <w:b w:val="0"/>
                <w:sz w:val="16"/>
              </w:rPr>
              <w:t>/api/zone-label-priorities</w:t>
            </w:r>
          </w:p>
        </w:tc>
        <w:tc>
          <w:tcPr>
            <w:tcW w:type="dxa" w:w="3326"/>
          </w:tcPr>
          <w:p>
            <w:r/>
            <w:r>
              <w:rPr>
                <w:rFonts w:ascii="Calibri" w:hAnsi="Calibri" w:eastAsia="Calibri"/>
                <w:b w:val="0"/>
                <w:sz w:val="16"/>
              </w:rPr>
              <w:t>671</w:t>
            </w:r>
          </w:p>
        </w:tc>
      </w:tr>
      <w:tr>
        <w:tc>
          <w:tcPr>
            <w:tcW w:type="dxa" w:w="3326"/>
            <w:shd w:val="clear" w:color="auto" w:fill="F3F7FB"/>
          </w:tcPr>
          <w:p>
            <w:r/>
            <w:r>
              <w:rPr>
                <w:rFonts w:ascii="Calibri" w:hAnsi="Calibri" w:eastAsia="Calibri"/>
                <w:b w:val="0"/>
                <w:sz w:val="16"/>
              </w:rPr>
              <w:t>Service list</w:t>
            </w:r>
          </w:p>
        </w:tc>
        <w:tc>
          <w:tcPr>
            <w:tcW w:type="dxa" w:w="3326"/>
            <w:shd w:val="clear" w:color="auto" w:fill="F3F7FB"/>
          </w:tcPr>
          <w:p>
            <w:r/>
            <w:r>
              <w:rPr>
                <w:rFonts w:ascii="Calibri" w:hAnsi="Calibri" w:eastAsia="Calibri"/>
                <w:b w:val="0"/>
                <w:sz w:val="16"/>
              </w:rPr>
              <w:t>/api/service-lists</w:t>
            </w:r>
          </w:p>
        </w:tc>
        <w:tc>
          <w:tcPr>
            <w:tcW w:type="dxa" w:w="3326"/>
            <w:shd w:val="clear" w:color="auto" w:fill="F3F7FB"/>
          </w:tcPr>
          <w:p>
            <w:r/>
            <w:r>
              <w:rPr>
                <w:rFonts w:ascii="Calibri" w:hAnsi="Calibri" w:eastAsia="Calibri"/>
                <w:b w:val="0"/>
                <w:sz w:val="16"/>
              </w:rPr>
              <w:t>482</w:t>
            </w:r>
          </w:p>
        </w:tc>
      </w:tr>
      <w:tr>
        <w:tc>
          <w:tcPr>
            <w:tcW w:type="dxa" w:w="3326"/>
          </w:tcPr>
          <w:p>
            <w:r/>
            <w:r>
              <w:rPr>
                <w:rFonts w:ascii="Calibri" w:hAnsi="Calibri" w:eastAsia="Calibri"/>
                <w:b w:val="0"/>
                <w:sz w:val="16"/>
              </w:rPr>
              <w:t>Rate details</w:t>
            </w:r>
          </w:p>
        </w:tc>
        <w:tc>
          <w:tcPr>
            <w:tcW w:type="dxa" w:w="3326"/>
          </w:tcPr>
          <w:p>
            <w:r/>
            <w:r>
              <w:rPr>
                <w:rFonts w:ascii="Calibri" w:hAnsi="Calibri" w:eastAsia="Calibri"/>
                <w:b w:val="0"/>
                <w:sz w:val="16"/>
              </w:rPr>
              <w:t>/api/rate-details</w:t>
            </w:r>
          </w:p>
        </w:tc>
        <w:tc>
          <w:tcPr>
            <w:tcW w:type="dxa" w:w="3326"/>
          </w:tcPr>
          <w:p>
            <w:r/>
            <w:r>
              <w:rPr>
                <w:rFonts w:ascii="Calibri" w:hAnsi="Calibri" w:eastAsia="Calibri"/>
                <w:b w:val="0"/>
                <w:sz w:val="16"/>
              </w:rPr>
              <w:t>3188</w:t>
            </w:r>
          </w:p>
        </w:tc>
      </w:tr>
      <w:tr>
        <w:tc>
          <w:tcPr>
            <w:tcW w:type="dxa" w:w="3326"/>
            <w:shd w:val="clear" w:color="auto" w:fill="F3F7FB"/>
          </w:tcPr>
          <w:p>
            <w:r/>
            <w:r>
              <w:rPr>
                <w:rFonts w:ascii="Calibri" w:hAnsi="Calibri" w:eastAsia="Calibri"/>
                <w:b w:val="0"/>
                <w:sz w:val="16"/>
              </w:rPr>
              <w:t>Included counters</w:t>
            </w:r>
          </w:p>
        </w:tc>
        <w:tc>
          <w:tcPr>
            <w:tcW w:type="dxa" w:w="3326"/>
            <w:shd w:val="clear" w:color="auto" w:fill="F3F7FB"/>
          </w:tcPr>
          <w:p>
            <w:r/>
            <w:r>
              <w:rPr>
                <w:rFonts w:ascii="Calibri" w:hAnsi="Calibri" w:eastAsia="Calibri"/>
                <w:b w:val="0"/>
                <w:sz w:val="16"/>
              </w:rPr>
              <w:t>/api/included-counters</w:t>
            </w:r>
          </w:p>
        </w:tc>
        <w:tc>
          <w:tcPr>
            <w:tcW w:type="dxa" w:w="3326"/>
            <w:shd w:val="clear" w:color="auto" w:fill="F3F7FB"/>
          </w:tcPr>
          <w:p>
            <w:r/>
            <w:r>
              <w:rPr>
                <w:rFonts w:ascii="Calibri" w:hAnsi="Calibri" w:eastAsia="Calibri"/>
                <w:b w:val="0"/>
                <w:sz w:val="16"/>
              </w:rPr>
              <w:t>1721</w:t>
            </w:r>
          </w:p>
        </w:tc>
      </w:tr>
      <w:tr>
        <w:tc>
          <w:tcPr>
            <w:tcW w:type="dxa" w:w="3326"/>
          </w:tcPr>
          <w:p>
            <w:r/>
            <w:r>
              <w:rPr>
                <w:rFonts w:ascii="Calibri" w:hAnsi="Calibri" w:eastAsia="Calibri"/>
                <w:b w:val="0"/>
                <w:sz w:val="16"/>
              </w:rPr>
              <w:t>Tier volume details</w:t>
            </w:r>
          </w:p>
        </w:tc>
        <w:tc>
          <w:tcPr>
            <w:tcW w:type="dxa" w:w="3326"/>
          </w:tcPr>
          <w:p>
            <w:r/>
            <w:r>
              <w:rPr>
                <w:rFonts w:ascii="Calibri" w:hAnsi="Calibri" w:eastAsia="Calibri"/>
                <w:b w:val="0"/>
                <w:sz w:val="16"/>
              </w:rPr>
              <w:t>/api/tier-volume-details</w:t>
            </w:r>
          </w:p>
        </w:tc>
        <w:tc>
          <w:tcPr>
            <w:tcW w:type="dxa" w:w="3326"/>
          </w:tcPr>
          <w:p>
            <w:r/>
            <w:r>
              <w:rPr>
                <w:rFonts w:ascii="Calibri" w:hAnsi="Calibri" w:eastAsia="Calibri"/>
                <w:b w:val="0"/>
                <w:sz w:val="16"/>
              </w:rPr>
              <w:t>2778</w:t>
            </w:r>
          </w:p>
        </w:tc>
      </w:tr>
      <w:tr>
        <w:tc>
          <w:tcPr>
            <w:tcW w:type="dxa" w:w="3326"/>
            <w:shd w:val="clear" w:color="auto" w:fill="F3F7FB"/>
          </w:tcPr>
          <w:p>
            <w:r/>
            <w:r>
              <w:rPr>
                <w:rFonts w:ascii="Calibri" w:hAnsi="Calibri" w:eastAsia="Calibri"/>
                <w:b w:val="0"/>
                <w:sz w:val="16"/>
              </w:rPr>
              <w:t>Rate plan lifecycle state</w:t>
            </w:r>
          </w:p>
        </w:tc>
        <w:tc>
          <w:tcPr>
            <w:tcW w:type="dxa" w:w="3326"/>
            <w:shd w:val="clear" w:color="auto" w:fill="F3F7FB"/>
          </w:tcPr>
          <w:p>
            <w:r/>
            <w:r>
              <w:rPr>
                <w:rFonts w:ascii="Calibri" w:hAnsi="Calibri" w:eastAsia="Calibri"/>
                <w:b w:val="0"/>
                <w:sz w:val="16"/>
              </w:rPr>
              <w:t>/api/rateplan-lc-state-models</w:t>
            </w:r>
          </w:p>
        </w:tc>
        <w:tc>
          <w:tcPr>
            <w:tcW w:type="dxa" w:w="3326"/>
            <w:shd w:val="clear" w:color="auto" w:fill="F3F7FB"/>
          </w:tcPr>
          <w:p>
            <w:r/>
            <w:r>
              <w:rPr>
                <w:rFonts w:ascii="Calibri" w:hAnsi="Calibri" w:eastAsia="Calibri"/>
                <w:b w:val="0"/>
                <w:sz w:val="16"/>
              </w:rPr>
              <w:t>218</w:t>
            </w:r>
          </w:p>
        </w:tc>
      </w:tr>
      <w:tr>
        <w:tc>
          <w:tcPr>
            <w:tcW w:type="dxa" w:w="3326"/>
          </w:tcPr>
          <w:p>
            <w:r/>
            <w:r>
              <w:rPr>
                <w:rFonts w:ascii="Calibri" w:hAnsi="Calibri" w:eastAsia="Calibri"/>
                <w:b w:val="0"/>
                <w:sz w:val="16"/>
              </w:rPr>
              <w:t>SGSN IP list</w:t>
            </w:r>
          </w:p>
        </w:tc>
        <w:tc>
          <w:tcPr>
            <w:tcW w:type="dxa" w:w="3326"/>
          </w:tcPr>
          <w:p>
            <w:r/>
            <w:r>
              <w:rPr>
                <w:rFonts w:ascii="Calibri" w:hAnsi="Calibri" w:eastAsia="Calibri"/>
                <w:b w:val="0"/>
                <w:sz w:val="16"/>
              </w:rPr>
              <w:t>/api/sgsn-ip-lists</w:t>
            </w:r>
          </w:p>
        </w:tc>
        <w:tc>
          <w:tcPr>
            <w:tcW w:type="dxa" w:w="3326"/>
          </w:tcPr>
          <w:p>
            <w:r/>
            <w:r>
              <w:rPr>
                <w:rFonts w:ascii="Calibri" w:hAnsi="Calibri" w:eastAsia="Calibri"/>
                <w:b w:val="0"/>
                <w:sz w:val="16"/>
              </w:rPr>
              <w:t>0</w:t>
            </w:r>
          </w:p>
        </w:tc>
      </w:tr>
      <w:tr>
        <w:tc>
          <w:tcPr>
            <w:tcW w:type="dxa" w:w="3326"/>
            <w:shd w:val="clear" w:color="auto" w:fill="F3F7FB"/>
          </w:tcPr>
          <w:p>
            <w:r/>
            <w:r>
              <w:rPr>
                <w:rFonts w:ascii="Calibri" w:hAnsi="Calibri" w:eastAsia="Calibri"/>
                <w:b w:val="0"/>
                <w:sz w:val="16"/>
              </w:rPr>
              <w:t>Special number</w:t>
            </w:r>
          </w:p>
        </w:tc>
        <w:tc>
          <w:tcPr>
            <w:tcW w:type="dxa" w:w="3326"/>
            <w:shd w:val="clear" w:color="auto" w:fill="F3F7FB"/>
          </w:tcPr>
          <w:p>
            <w:r/>
            <w:r>
              <w:rPr>
                <w:rFonts w:ascii="Calibri" w:hAnsi="Calibri" w:eastAsia="Calibri"/>
                <w:b w:val="0"/>
                <w:sz w:val="16"/>
              </w:rPr>
              <w:t>/api/special-numbers</w:t>
            </w:r>
          </w:p>
        </w:tc>
        <w:tc>
          <w:tcPr>
            <w:tcW w:type="dxa" w:w="3326"/>
            <w:shd w:val="clear" w:color="auto" w:fill="F3F7FB"/>
          </w:tcPr>
          <w:p>
            <w:r/>
            <w:r>
              <w:rPr>
                <w:rFonts w:ascii="Calibri" w:hAnsi="Calibri" w:eastAsia="Calibri"/>
                <w:b w:val="0"/>
                <w:sz w:val="16"/>
              </w:rPr>
              <w:t>0</w:t>
            </w:r>
          </w:p>
        </w:tc>
      </w:tr>
    </w:tbl>
    <w:p/>
    <w:p>
      <w:pPr>
        <w:spacing w:after="160" w:before="40"/>
      </w:pPr>
      <w:r>
        <w:t>Kafka helper, not a catalog table: /api/connect-rateplan-kafka. See section 8.</w:t>
      </w:r>
    </w:p>
    <w:p>
      <w:pPr>
        <w:pStyle w:val="Heading1"/>
      </w:pPr>
      <w:r>
        <w:t>5. Sample graph used in the examples</w:t>
      </w:r>
    </w:p>
    <w:p>
      <w:pPr>
        <w:spacing w:after="160" w:before="40"/>
      </w:pPr>
      <w:r>
        <w:t>Examples use dump identifiers so each JSON body can be traced to a row. POST examples omit id, because a create must not send one. GET examples include the dump id. Nested ids are the dump foreign keys.</w:t>
      </w:r>
    </w:p>
    <w:p>
      <w:pPr>
        <w:spacing w:after="160" w:before="40"/>
      </w:pPr>
      <w:r>
        <w:t>The plan is TEST_ATT_DEMO_INDV, dump id 3051, tenant 5, Approved, Individual, category RATEPLAN. Its lifecycle is 1201, its time interval is 1000 FULLDAY, and its rating groups are 1101 and 1102. Services are 3302 Data, 3301 SMS, and 3303 Voice.</w:t>
      </w:r>
    </w:p>
    <w:p>
      <w:pPr>
        <w:pStyle w:val="Heading1"/>
      </w:pPr>
      <w:r>
        <w:t>6. Reference data examples</w:t>
      </w:r>
    </w:p>
    <w:p>
      <w:pPr>
        <w:pStyle w:val="Heading2"/>
      </w:pPr>
      <w:r>
        <w:t>6.1 Currency  POST /api/currencies</w:t>
      </w:r>
    </w:p>
    <w:p>
      <w:pPr>
        <w:spacing w:after="160" w:before="40"/>
      </w:pPr>
      <w:r>
        <w:t>Fields: currencyName, currencyCode, createdDate, modifiedDate. Dump row 1009.</w:t>
      </w:r>
    </w:p>
    <w:p>
      <w:pPr>
        <w:spacing w:before="80" w:after="160"/>
        <w:ind w:left="72"/>
        <w:shd w:val="clear" w:color="auto" w:fill="F4F6F8"/>
      </w:pPr>
      <w:r>
        <w:rPr>
          <w:rFonts w:ascii="Consolas" w:hAnsi="Consolas" w:eastAsia="Consolas"/>
          <w:b w:val="0"/>
          <w:sz w:val="16"/>
        </w:rPr>
        <w:t>POST /api/currencies</w:t>
        <w:br/>
        <w:t>{</w:t>
        <w:br/>
        <w:t xml:space="preserve">  "currencyName": "Euro",</w:t>
        <w:br/>
        <w:t xml:space="preserve">  "currencyCode": "EUR"</w:t>
        <w:br/>
        <w:t>}</w:t>
      </w:r>
    </w:p>
    <w:p>
      <w:pPr>
        <w:spacing w:after="160" w:before="40"/>
      </w:pPr>
      <w:r>
        <w:t>GET /api/currencies/1009 returns the same fields plus id 1009. Other codes in the dump include ARS (id 1001, Argentine Peso), USD (id 1025), and GBP (id 1018).</w:t>
      </w:r>
    </w:p>
    <w:p>
      <w:pPr>
        <w:pStyle w:val="Heading2"/>
      </w:pPr>
      <w:r>
        <w:t>6.2 Country  POST /api/countries</w:t>
      </w:r>
    </w:p>
    <w:p>
      <w:pPr>
        <w:spacing w:after="160" w:before="40"/>
      </w:pPr>
      <w:r>
        <w:t>Fields: countryCode, countryName, iso3166Code2, iso3166Code3, currency. Dump row 1083, Andorra, linked to Euro.</w:t>
      </w:r>
    </w:p>
    <w:p>
      <w:pPr>
        <w:spacing w:before="80" w:after="160"/>
        <w:ind w:left="72"/>
        <w:shd w:val="clear" w:color="auto" w:fill="F4F6F8"/>
      </w:pPr>
      <w:r>
        <w:rPr>
          <w:rFonts w:ascii="Consolas" w:hAnsi="Consolas" w:eastAsia="Consolas"/>
          <w:b w:val="0"/>
          <w:sz w:val="16"/>
        </w:rPr>
        <w:t>POST /api/countries</w:t>
        <w:br/>
        <w:t>{</w:t>
        <w:br/>
        <w:t xml:space="preserve">  "countryCode": 376,</w:t>
        <w:br/>
        <w:t xml:space="preserve">  "countryName": "Andorra",</w:t>
        <w:br/>
        <w:t xml:space="preserve">  "iso3166Code2": "AD",</w:t>
        <w:br/>
        <w:t xml:space="preserve">  "iso3166Code3": null,</w:t>
        <w:br/>
        <w:t xml:space="preserve">  "currency": { "id": 1009 }</w:t>
        <w:br/>
        <w:t>}</w:t>
      </w:r>
    </w:p>
    <w:p>
      <w:pPr>
        <w:pStyle w:val="Heading2"/>
      </w:pPr>
      <w:r>
        <w:t>6.3 TADIG code  POST /api/tadig-codes</w:t>
      </w:r>
    </w:p>
    <w:p>
      <w:pPr>
        <w:spacing w:after="160" w:before="40"/>
      </w:pPr>
      <w:r>
        <w:t>Field: tadig. Dump row 1173.</w:t>
      </w:r>
    </w:p>
    <w:p>
      <w:pPr>
        <w:spacing w:before="80" w:after="160"/>
        <w:ind w:left="72"/>
        <w:shd w:val="clear" w:color="auto" w:fill="F4F6F8"/>
      </w:pPr>
      <w:r>
        <w:rPr>
          <w:rFonts w:ascii="Consolas" w:hAnsi="Consolas" w:eastAsia="Consolas"/>
          <w:b w:val="0"/>
          <w:sz w:val="16"/>
        </w:rPr>
        <w:t>POST /api/tadig-codes</w:t>
        <w:br/>
        <w:t>{</w:t>
        <w:br/>
        <w:t xml:space="preserve">  "tadig": "ANDMA"</w:t>
        <w:br/>
        <w:t>}</w:t>
      </w:r>
    </w:p>
    <w:p>
      <w:pPr>
        <w:pStyle w:val="Heading2"/>
      </w:pPr>
      <w:r>
        <w:t>6.4 Network identity  POST /api/network-identities</w:t>
      </w:r>
    </w:p>
    <w:p>
      <w:pPr>
        <w:spacing w:after="160" w:before="40"/>
      </w:pPr>
      <w:r>
        <w:t>Fields: mcc, mnc, operator, country, tadigCode. Dump row 899, which zone 1001 Zone1 contains.</w:t>
      </w:r>
    </w:p>
    <w:p>
      <w:pPr>
        <w:spacing w:before="80" w:after="160"/>
        <w:ind w:left="72"/>
        <w:shd w:val="clear" w:color="auto" w:fill="F4F6F8"/>
      </w:pPr>
      <w:r>
        <w:rPr>
          <w:rFonts w:ascii="Consolas" w:hAnsi="Consolas" w:eastAsia="Consolas"/>
          <w:b w:val="0"/>
          <w:sz w:val="16"/>
        </w:rPr>
        <w:t>POST /api/network-identities</w:t>
        <w:br/>
        <w:t>{</w:t>
        <w:br/>
        <w:t xml:space="preserve">  "mcc": "213",</w:t>
        <w:br/>
        <w:t xml:space="preserve">  "mnc": "03",</w:t>
        <w:br/>
        <w:t xml:space="preserve">  "operator": "ANDORRA TELECOM",</w:t>
        <w:br/>
        <w:t xml:space="preserve">  "country": { "id": 1083 },</w:t>
        <w:br/>
        <w:t xml:space="preserve">  "tadigCode": { "id": 1173 }</w:t>
        <w:br/>
        <w:t>}</w:t>
      </w:r>
    </w:p>
    <w:p>
      <w:pPr>
        <w:pStyle w:val="Heading2"/>
      </w:pPr>
      <w:r>
        <w:t>6.5 Unit type  POST /api/unit-types</w:t>
      </w:r>
    </w:p>
    <w:p>
      <w:pPr>
        <w:spacing w:after="160" w:before="40"/>
      </w:pPr>
      <w:r>
        <w:t>Fields: name, conversionFactor, lowestUnit. Dump row 6, megabyte. The service does not store tenant id on this table.</w:t>
      </w:r>
    </w:p>
    <w:p>
      <w:pPr>
        <w:spacing w:before="80" w:after="160"/>
        <w:ind w:left="72"/>
        <w:shd w:val="clear" w:color="auto" w:fill="F4F6F8"/>
      </w:pPr>
      <w:r>
        <w:rPr>
          <w:rFonts w:ascii="Consolas" w:hAnsi="Consolas" w:eastAsia="Consolas"/>
          <w:b w:val="0"/>
          <w:sz w:val="16"/>
        </w:rPr>
        <w:t>POST /api/unit-types</w:t>
        <w:br/>
        <w:t>{</w:t>
        <w:br/>
        <w:t xml:space="preserve">  "name": "MB",</w:t>
        <w:br/>
        <w:t xml:space="preserve">  "conversionFactor": 1048576,</w:t>
        <w:br/>
        <w:t xml:space="preserve">  "lowestUnit": "Byte"</w:t>
        <w:br/>
        <w:t>}</w:t>
      </w:r>
    </w:p>
    <w:p>
      <w:pPr>
        <w:pStyle w:val="Heading2"/>
      </w:pPr>
      <w:r>
        <w:t>6.6 Lifecycle, states, and transitions</w:t>
      </w:r>
    </w:p>
    <w:p>
      <w:pPr>
        <w:spacing w:before="80" w:after="160"/>
        <w:ind w:left="72"/>
        <w:shd w:val="clear" w:color="auto" w:fill="F4F6F8"/>
      </w:pPr>
      <w:r>
        <w:rPr>
          <w:rFonts w:ascii="Consolas" w:hAnsi="Consolas" w:eastAsia="Consolas"/>
          <w:b w:val="0"/>
          <w:sz w:val="16"/>
        </w:rPr>
        <w:t>POST /api/lifecycles</w:t>
        <w:br/>
        <w:t>{</w:t>
        <w:br/>
        <w:t xml:space="preserve">  "name": "Lifecycle 1"</w:t>
        <w:br/>
        <w:t>}</w:t>
        <w:br/>
        <w:br/>
        <w:t>POST /api/states</w:t>
        <w:br/>
        <w:t>{</w:t>
        <w:br/>
        <w:t xml:space="preserve">  "lcStateName": "Approved"</w:t>
        <w:br/>
        <w:t>}</w:t>
        <w:br/>
        <w:br/>
        <w:t>POST /api/state-transitions</w:t>
        <w:br/>
        <w:t>{</w:t>
        <w:br/>
        <w:t xml:space="preserve">  "name": "Under Review-Approved",</w:t>
        <w:br/>
        <w:t xml:space="preserve">  "fromState": "Under Review",</w:t>
        <w:br/>
        <w:t xml:space="preserve">  "toState": "Approved",</w:t>
        <w:br/>
        <w:t xml:space="preserve">  "isAllowed": true,</w:t>
        <w:br/>
        <w:t xml:space="preserve">  "lifecycle": { "id": 1201 }</w:t>
        <w:br/>
        <w:t>}</w:t>
      </w:r>
    </w:p>
    <w:p>
      <w:pPr>
        <w:spacing w:after="160" w:before="40"/>
      </w:pPr>
      <w:r>
        <w:t>The ten transition names and their from/to pairs are listed in the flow document, section 3.3. Dump ids are 1301 through 1310, all with isAllowed true and lifecycle 1201.</w:t>
      </w:r>
    </w:p>
    <w:p>
      <w:pPr>
        <w:pStyle w:val="Heading2"/>
      </w:pPr>
      <w:r>
        <w:t>6.7 Billing cycle and account profile</w:t>
      </w:r>
    </w:p>
    <w:p>
      <w:pPr>
        <w:spacing w:after="160" w:before="40"/>
      </w:pPr>
      <w:r>
        <w:t>Billing cycle has no tenant id in this service. Dump cycle 1452. Account profile 1502 requires tenantId, billCycle, and currency. creditLimit is decimal(32,12). The dump value 0.00 fits that type.</w:t>
      </w:r>
    </w:p>
    <w:p>
      <w:pPr>
        <w:spacing w:before="80" w:after="160"/>
        <w:ind w:left="72"/>
        <w:shd w:val="clear" w:color="auto" w:fill="F4F6F8"/>
      </w:pPr>
      <w:r>
        <w:rPr>
          <w:rFonts w:ascii="Consolas" w:hAnsi="Consolas" w:eastAsia="Consolas"/>
          <w:b w:val="0"/>
          <w:sz w:val="16"/>
        </w:rPr>
        <w:t>POST /api/billing-cycles</w:t>
        <w:br/>
        <w:t>{</w:t>
        <w:br/>
        <w:t xml:space="preserve">  "billCycleDate": 2,</w:t>
        <w:br/>
        <w:t xml:space="preserve">  "billCycleName": "2nd of Month",</w:t>
        <w:br/>
        <w:t xml:space="preserve">  "billCycleDuration": null</w:t>
        <w:br/>
        <w:t>}</w:t>
        <w:br/>
        <w:br/>
        <w:t>POST /api/account-billing-profiles</w:t>
        <w:br/>
        <w:t>{</w:t>
        <w:br/>
        <w:t xml:space="preserve">  "tenantId": "5",</w:t>
        <w:br/>
        <w:t xml:space="preserve">  "mrcChargeType": "In Advance",</w:t>
        <w:br/>
        <w:t xml:space="preserve">  "ratingType": "Retroactive",</w:t>
        <w:br/>
        <w:t xml:space="preserve">  "creditLimit": 0.00,</w:t>
        <w:br/>
        <w:t xml:space="preserve">  "mrcRatingType": "Full",</w:t>
        <w:br/>
        <w:t xml:space="preserve">  "billable": true,</w:t>
        <w:br/>
        <w:t xml:space="preserve">  "fanId": null,</w:t>
        <w:br/>
        <w:t xml:space="preserve">  "extId": null,</w:t>
        <w:br/>
        <w:t xml:space="preserve">  "accountPrefix": null,</w:t>
        <w:br/>
        <w:t xml:space="preserve">  "saartId": null,</w:t>
        <w:br/>
        <w:t xml:space="preserve">  "billCycle": { "id": 1452 },</w:t>
        <w:br/>
        <w:t xml:space="preserve">  "currency": { "id": 1001 }</w:t>
        <w:br/>
        <w:t>}</w:t>
      </w:r>
    </w:p>
    <w:p>
      <w:pPr>
        <w:spacing w:after="160" w:before="40"/>
      </w:pPr>
      <w:r>
        <w:t>Currency 1001 is Argentine Peso, ARS. fanId, extId, accountPrefix, and saartId are null on this dump row.</w:t>
      </w:r>
    </w:p>
    <w:p>
      <w:pPr>
        <w:pStyle w:val="Heading2"/>
      </w:pPr>
      <w:r>
        <w:t>6.8 Zone label  POST /api/zone-labels</w:t>
      </w:r>
    </w:p>
    <w:p>
      <w:pPr>
        <w:spacing w:after="160" w:before="40"/>
      </w:pPr>
      <w:r>
        <w:t>Fields: tenantId, name, description, isRestOfWorld, status, networkIdentities. Sending networkIdentities replaces the zone's network set (rel_zone_label__network_identity). GET /api/zone-labels?eagerload=true includes that set. Dump zone 1000 is the rest-of-world default. Dump zone 1001 is Zone1 and contains network 899.</w:t>
      </w:r>
    </w:p>
    <w:p>
      <w:pPr>
        <w:spacing w:before="80" w:after="160"/>
        <w:ind w:left="72"/>
        <w:shd w:val="clear" w:color="auto" w:fill="F4F6F8"/>
      </w:pPr>
      <w:r>
        <w:rPr>
          <w:rFonts w:ascii="Consolas" w:hAnsi="Consolas" w:eastAsia="Consolas"/>
          <w:b w:val="0"/>
          <w:sz w:val="16"/>
        </w:rPr>
        <w:t>POST /api/zone-labels</w:t>
        <w:br/>
        <w:t>{</w:t>
        <w:br/>
        <w:t xml:space="preserve">  "tenantId": "5",</w:t>
        <w:br/>
        <w:t xml:space="preserve">  "name": "Zone1",</w:t>
        <w:br/>
        <w:t xml:space="preserve">  "description": "",</w:t>
        <w:br/>
        <w:t xml:space="preserve">  "isRestOfWorld": false,</w:t>
        <w:br/>
        <w:t xml:space="preserve">  "status": "Active",</w:t>
        <w:br/>
        <w:t xml:space="preserve">  "networkIdentities": [ { "id": 899 } ]</w:t>
        <w:br/>
        <w:t>}</w:t>
      </w:r>
    </w:p>
    <w:p>
      <w:pPr>
        <w:pStyle w:val="Heading2"/>
      </w:pPr>
      <w:r>
        <w:t>6.9 Time interval and time slot</w:t>
      </w:r>
    </w:p>
    <w:p>
      <w:pPr>
        <w:spacing w:before="80" w:after="160"/>
        <w:ind w:left="72"/>
        <w:shd w:val="clear" w:color="auto" w:fill="F4F6F8"/>
      </w:pPr>
      <w:r>
        <w:rPr>
          <w:rFonts w:ascii="Consolas" w:hAnsi="Consolas" w:eastAsia="Consolas"/>
          <w:b w:val="0"/>
          <w:sz w:val="16"/>
        </w:rPr>
        <w:t>POST /api/time-intervals</w:t>
        <w:br/>
        <w:t>{</w:t>
        <w:br/>
        <w:t xml:space="preserve">  "tenantId": "5",</w:t>
        <w:br/>
        <w:t xml:space="preserve">  "name": "FULLDAY",</w:t>
        <w:br/>
        <w:t xml:space="preserve">  "lastUpdated": "2026-04-15T10:33:25.592018Z",</w:t>
        <w:br/>
        <w:t xml:space="preserve">  "isAssignedRateplan": true</w:t>
        <w:br/>
        <w:t>}</w:t>
        <w:br/>
        <w:br/>
        <w:t>POST /api/time-slots</w:t>
        <w:br/>
        <w:t>{</w:t>
        <w:br/>
        <w:t xml:space="preserve">  "name": "Full",</w:t>
        <w:br/>
        <w:t xml:space="preserve">  "timeSlotStart": "000000",</w:t>
        <w:br/>
        <w:t xml:space="preserve">  "timeSlotEnd": "235959",</w:t>
        <w:br/>
        <w:t xml:space="preserve">  "timeInterval": { "id": 1156 }</w:t>
        <w:br/>
        <w:t>}</w:t>
      </w:r>
    </w:p>
    <w:p>
      <w:pPr>
        <w:spacing w:after="160" w:before="40"/>
      </w:pPr>
      <w:r>
        <w:t>Interval 1000 is the one plan 3051 uses. Slot 2651 belongs to interval 1156, not to interval 1000. Plan 3051 therefore has no time slot on its rate rows.</w:t>
      </w:r>
    </w:p>
    <w:p>
      <w:pPr>
        <w:pStyle w:val="Heading2"/>
      </w:pPr>
      <w:r>
        <w:t>6.10 Rating group  POST /api/rating-groups</w:t>
      </w:r>
    </w:p>
    <w:p>
      <w:pPr>
        <w:spacing w:before="80" w:after="160"/>
        <w:ind w:left="72"/>
        <w:shd w:val="clear" w:color="auto" w:fill="F4F6F8"/>
      </w:pPr>
      <w:r>
        <w:rPr>
          <w:rFonts w:ascii="Consolas" w:hAnsi="Consolas" w:eastAsia="Consolas"/>
          <w:b w:val="0"/>
          <w:sz w:val="16"/>
        </w:rPr>
        <w:t>POST /api/rating-groups</w:t>
        <w:br/>
        <w:t>{</w:t>
        <w:br/>
        <w:t xml:space="preserve">  "tenantId": "5",</w:t>
        <w:br/>
        <w:t xml:space="preserve">  "rgValue": "0",</w:t>
        <w:br/>
        <w:t xml:space="preserve">  "isDefault": true</w:t>
        <w:br/>
        <w:t>}</w:t>
      </w:r>
    </w:p>
    <w:p>
      <w:pPr>
        <w:spacing w:after="160" w:before="40"/>
      </w:pPr>
      <w:r>
        <w:t>Dump id 1101. Group 1102 is rgValue 2 with isDefault null. Group 1103 is rgValue 90000.</w:t>
      </w:r>
    </w:p>
    <w:p>
      <w:pPr>
        <w:pStyle w:val="Heading1"/>
      </w:pPr>
      <w:r>
        <w:t>7. Rate plan resources</w:t>
      </w:r>
    </w:p>
    <w:p>
      <w:pPr>
        <w:pStyle w:val="Heading2"/>
      </w:pPr>
      <w:r>
        <w:t>7.1 Create the plan  POST /api/rateplans</w:t>
      </w:r>
    </w:p>
    <w:p>
      <w:pPr>
        <w:spacing w:after="160" w:before="40"/>
      </w:pPr>
      <w:r>
        <w:t>This body is dump row 3051 without id. ratingGroups writes rel_rateplan__rating_group. name must be unique. Decimal fields are sent as numbers and stored as decimal(32,12).</w:t>
      </w:r>
    </w:p>
    <w:p>
      <w:pPr>
        <w:spacing w:before="80" w:after="160"/>
        <w:ind w:left="72"/>
        <w:shd w:val="clear" w:color="auto" w:fill="F4F6F8"/>
      </w:pPr>
      <w:r>
        <w:rPr>
          <w:rFonts w:ascii="Consolas" w:hAnsi="Consolas" w:eastAsia="Consolas"/>
          <w:b w:val="0"/>
          <w:sz w:val="16"/>
        </w:rPr>
        <w:t>POST /api/rateplans</w:t>
        <w:br/>
        <w:t>Content-Type: application/json</w:t>
        <w:br/>
        <w:br/>
        <w:t>{</w:t>
        <w:br/>
        <w:t xml:space="preserve">  "tenantId": "5",</w:t>
        <w:br/>
        <w:t xml:space="preserve">  "name": "TEST_ATT_DEMO_INDV",</w:t>
        <w:br/>
        <w:t xml:space="preserve">  "organizationName": "5",</w:t>
        <w:br/>
        <w:t xml:space="preserve">  "activationFee": 1.00000,</w:t>
        <w:br/>
        <w:t xml:space="preserve">  "networkAccessFee": null,</w:t>
        <w:br/>
        <w:t xml:space="preserve">  "subscriptionFee": 0.50000,</w:t>
        <w:br/>
        <w:t xml:space="preserve">  "cancellationFee": 0.00000,</w:t>
        <w:br/>
        <w:t xml:space="preserve">  "additionalFees": 0.00000,</w:t>
        <w:br/>
        <w:t xml:space="preserve">  "reActivationFee": null,</w:t>
        <w:br/>
        <w:t xml:space="preserve">  "contractPeriod": 0,</w:t>
        <w:br/>
        <w:t xml:space="preserve">  "noticePeriod": 0,</w:t>
        <w:br/>
        <w:t xml:space="preserve">  "startDate": null,</w:t>
        <w:br/>
        <w:t xml:space="preserve">  "endDate": null,</w:t>
        <w:br/>
        <w:t xml:space="preserve">  "status": "Approved",</w:t>
        <w:br/>
        <w:t xml:space="preserve">  "planType": "Individual",</w:t>
        <w:br/>
        <w:t xml:space="preserve">  "version": 0,</w:t>
        <w:br/>
        <w:t xml:space="preserve">  "subscriptionType": "Pay Monthly",</w:t>
        <w:br/>
        <w:t xml:space="preserve">  "includedTestData": 20,</w:t>
        <w:br/>
        <w:t xml:space="preserve">  "includedTestSms": 5,</w:t>
        <w:br/>
        <w:t xml:space="preserve">  "includedTestVoice": 5,</w:t>
        <w:br/>
        <w:t xml:space="preserve">  "expiryDate": null,</w:t>
        <w:br/>
        <w:t xml:space="preserve">  "trialDuration": 60,</w:t>
        <w:br/>
        <w:t xml:space="preserve">  "poolTariff": "",</w:t>
        <w:br/>
        <w:t xml:space="preserve">  "poolActivationFee": 0.00000,</w:t>
        <w:br/>
        <w:t xml:space="preserve">  "poolSubscriptionFee": 0.00000,</w:t>
        <w:br/>
        <w:t xml:space="preserve">  "roundingForData": "100 KB",</w:t>
        <w:br/>
        <w:t xml:space="preserve">  "roundingForVoice": "None",</w:t>
        <w:br/>
        <w:t xml:space="preserve">  "includedTestDataUnit": "MB",</w:t>
        <w:br/>
        <w:t xml:space="preserve">  "includedTestSmsUnit": "SMS",</w:t>
        <w:br/>
        <w:t xml:space="preserve">  "includedTestVoiceUnit": "Minute",</w:t>
        <w:br/>
        <w:t xml:space="preserve">  "renewOnExpiry": false,</w:t>
        <w:br/>
        <w:t xml:space="preserve">  "tieredVolumeType": null,</w:t>
        <w:br/>
        <w:t xml:space="preserve">  "validityPeriod": 0,</w:t>
        <w:br/>
        <w:t xml:space="preserve">  "category": "RATEPLAN",</w:t>
        <w:br/>
        <w:t xml:space="preserve">  "quotaProfileId": null,</w:t>
        <w:br/>
        <w:t xml:space="preserve">  "quotaProfileName": null,</w:t>
        <w:br/>
        <w:t xml:space="preserve">  "extId": "",</w:t>
        <w:br/>
        <w:t xml:space="preserve">  "fixedActiveFee": null,</w:t>
        <w:br/>
        <w:t xml:space="preserve">  "suspendFee": null,</w:t>
        <w:br/>
        <w:t xml:space="preserve">  "suspendedSimMrc": null,</w:t>
        <w:br/>
        <w:t xml:space="preserve">  "unsuspendFee": null,</w:t>
        <w:br/>
        <w:t xml:space="preserve">  "deactivationFee": null,</w:t>
        <w:br/>
        <w:t xml:space="preserve">  "lifecycle": { "id": 1201 },</w:t>
        <w:br/>
        <w:t xml:space="preserve">  "timeInterval": { "id": 1000 },</w:t>
        <w:br/>
        <w:t xml:space="preserve">  "ratingGroups": [ { "id": 1101 }, { "id": 1102 } ]</w:t>
        <w:br/>
        <w:t>}</w:t>
      </w:r>
    </w:p>
    <w:p>
      <w:pPr>
        <w:spacing w:after="160" w:before="40"/>
      </w:pPr>
      <w:r>
        <w:t>201 response: Location: /api/rateplans/{id}, and the same document with the assigned id. GET /api/rateplans/3051 is the dump row. GET /api/rateplans?eagerload=false returns plans without the rating-group collection loaded.</w:t>
      </w:r>
    </w:p>
    <w:p>
      <w:pPr>
        <w:pStyle w:val="Heading2"/>
      </w:pPr>
      <w:r>
        <w:t>7.2 Partial update  PATCH /api/rateplans/3051</w:t>
      </w:r>
    </w:p>
    <w:p>
      <w:pPr>
        <w:spacing w:after="160" w:before="40"/>
      </w:pPr>
      <w:r>
        <w:t>Only non-null fields are written. This moves the dump status, which is already Approved, and sets the subscription fee. The path id must also be present in the body.</w:t>
      </w:r>
    </w:p>
    <w:p>
      <w:pPr>
        <w:spacing w:before="80" w:after="160"/>
        <w:ind w:left="72"/>
        <w:shd w:val="clear" w:color="auto" w:fill="F4F6F8"/>
      </w:pPr>
      <w:r>
        <w:rPr>
          <w:rFonts w:ascii="Consolas" w:hAnsi="Consolas" w:eastAsia="Consolas"/>
          <w:b w:val="0"/>
          <w:sz w:val="16"/>
        </w:rPr>
        <w:t>PATCH /api/rateplans/3051</w:t>
        <w:br/>
        <w:t>Content-Type: application/merge-patch+json</w:t>
        <w:br/>
        <w:br/>
        <w:t>{</w:t>
        <w:br/>
        <w:t xml:space="preserve">  "id": 3051,</w:t>
        <w:br/>
        <w:t xml:space="preserve">  "status": "Approved",</w:t>
        <w:br/>
        <w:t xml:space="preserve">  "subscriptionFee": 0.50000</w:t>
        <w:br/>
        <w:t>}</w:t>
      </w:r>
    </w:p>
    <w:p>
      <w:pPr>
        <w:pStyle w:val="Heading2"/>
      </w:pPr>
      <w:r>
        <w:t>7.3 Zone priorities  POST /api/zone-label-priorities</w:t>
      </w:r>
    </w:p>
    <w:p>
      <w:pPr>
        <w:spacing w:after="160" w:before="40"/>
      </w:pPr>
      <w:r>
        <w:t>Fields: labelType, priority, tenantId, rateplan, zoneLabel. Two of the sixteen rows for plan 3051:</w:t>
      </w:r>
    </w:p>
    <w:p>
      <w:pPr>
        <w:spacing w:before="80" w:after="160"/>
        <w:ind w:left="72"/>
        <w:shd w:val="clear" w:color="auto" w:fill="F4F6F8"/>
      </w:pPr>
      <w:r>
        <w:rPr>
          <w:rFonts w:ascii="Consolas" w:hAnsi="Consolas" w:eastAsia="Consolas"/>
          <w:b w:val="0"/>
          <w:sz w:val="16"/>
        </w:rPr>
        <w:t>POST /api/zone-label-priorities</w:t>
        <w:br/>
        <w:t>{</w:t>
        <w:br/>
        <w:t xml:space="preserve">  "labelType": "Originating",</w:t>
        <w:br/>
        <w:t xml:space="preserve">  "priority": 0,</w:t>
        <w:br/>
        <w:t xml:space="preserve">  "tenantId": "5",</w:t>
        <w:br/>
        <w:t xml:space="preserve">  "rateplan": { "id": 3051 },</w:t>
        <w:br/>
        <w:t xml:space="preserve">  "zoneLabel": { "id": 1452 }</w:t>
        <w:br/>
        <w:t>}</w:t>
        <w:br/>
        <w:br/>
        <w:t>POST /api/zone-label-priorities</w:t>
        <w:br/>
        <w:t>{</w:t>
        <w:br/>
        <w:t xml:space="preserve">  "labelType": "Destination",</w:t>
        <w:br/>
        <w:t xml:space="preserve">  "priority": 0,</w:t>
        <w:br/>
        <w:t xml:space="preserve">  "tenantId": "5",</w:t>
        <w:br/>
        <w:t xml:space="preserve">  "rateplan": { "id": 3051 },</w:t>
        <w:br/>
        <w:t xml:space="preserve">  "zoneLabel": { "id": 2852 }</w:t>
        <w:br/>
        <w:t>}</w:t>
      </w:r>
    </w:p>
    <w:p>
      <w:pPr>
        <w:spacing w:after="160" w:before="40"/>
      </w:pPr>
      <w:r>
        <w:t>Those are dump ids 3151 (origin zone rtrt) and 3165 (destination zone East). The other fourteen priorities are in the flow document, section 5.2.</w:t>
      </w:r>
    </w:p>
    <w:p>
      <w:pPr>
        <w:pStyle w:val="Heading2"/>
      </w:pPr>
      <w:r>
        <w:t>7.4 Services  POST /api/service-lists</w:t>
      </w:r>
    </w:p>
    <w:p>
      <w:pPr>
        <w:spacing w:before="80" w:after="160"/>
        <w:ind w:left="72"/>
        <w:shd w:val="clear" w:color="auto" w:fill="F4F6F8"/>
      </w:pPr>
      <w:r>
        <w:rPr>
          <w:rFonts w:ascii="Consolas" w:hAnsi="Consolas" w:eastAsia="Consolas"/>
          <w:b w:val="0"/>
          <w:sz w:val="16"/>
        </w:rPr>
        <w:t>POST /api/service-lists</w:t>
        <w:br/>
        <w:t>{ "tenantId": "5", "servicetype": "Data", "rateplan": { "id": 3051 } }</w:t>
        <w:br/>
        <w:br/>
        <w:t>POST /api/service-lists</w:t>
        <w:br/>
        <w:t>{ "tenantId": "5", "servicetype": "SMS", "rateplan": { "id": 3051 } }</w:t>
        <w:br/>
        <w:br/>
        <w:t>POST /api/service-lists</w:t>
        <w:br/>
        <w:t>{ "tenantId": "5", "servicetype": "Voice", "rateplan": { "id": 3051 } }</w:t>
      </w:r>
    </w:p>
    <w:p>
      <w:pPr>
        <w:spacing w:after="160" w:before="40"/>
      </w:pPr>
      <w:r>
        <w:t>Dump ids: Data 3302, SMS 3301, Voice 3303. The property name is servicetype, matching the column.</w:t>
      </w:r>
    </w:p>
    <w:p>
      <w:pPr>
        <w:pStyle w:val="Heading2"/>
      </w:pPr>
      <w:r>
        <w:t>7.5 Rate details  POST /api/rate-details</w:t>
      </w:r>
    </w:p>
    <w:p>
      <w:pPr>
        <w:spacing w:after="160" w:before="40"/>
      </w:pPr>
      <w:r>
        <w:t>Three dump rows. Origin and destination are the zone ids that the dump stored on band_label. There is no band id in this API.</w:t>
      </w:r>
    </w:p>
    <w:p>
      <w:pPr>
        <w:spacing w:after="160" w:before="40"/>
      </w:pPr>
      <w:r>
        <w:t>SMS row 3403, service 3301, Default Zone to Zone1, zero overage, data factor 1.00.</w:t>
      </w:r>
    </w:p>
    <w:p>
      <w:pPr>
        <w:spacing w:before="80" w:after="160"/>
        <w:ind w:left="72"/>
        <w:shd w:val="clear" w:color="auto" w:fill="F4F6F8"/>
      </w:pPr>
      <w:r>
        <w:rPr>
          <w:rFonts w:ascii="Consolas" w:hAnsi="Consolas" w:eastAsia="Consolas"/>
          <w:b w:val="0"/>
          <w:sz w:val="16"/>
        </w:rPr>
        <w:t>POST /api/rate-details</w:t>
        <w:br/>
        <w:t>{</w:t>
        <w:br/>
        <w:t xml:space="preserve">  "tenantId": "5",</w:t>
        <w:br/>
        <w:t xml:space="preserve">  "dataOverageRate": 0.000000000000,</w:t>
        <w:br/>
        <w:t xml:space="preserve">  "dataOverageRateUnit": "MB",</w:t>
        <w:br/>
        <w:t xml:space="preserve">  "smsMoOverageRate": 0.00000,</w:t>
        <w:br/>
        <w:t xml:space="preserve">  "smsMoOverageRateUnit": "SMS",</w:t>
        <w:br/>
        <w:t xml:space="preserve">  "smsMtOverageRate": 0.00000,</w:t>
        <w:br/>
        <w:t xml:space="preserve">  "smsMtOverageRateUnit": "SMS",</w:t>
        <w:br/>
        <w:t xml:space="preserve">  "voiceMoOverageRate": 0.00000,</w:t>
        <w:br/>
        <w:t xml:space="preserve">  "voiceMoOverageRateUnit": "Minutes",</w:t>
        <w:br/>
        <w:t xml:space="preserve">  "voiceMtOverageRate": 0.00000,</w:t>
        <w:br/>
        <w:t xml:space="preserve">  "voiceMtOverageRateUnit": "Minutes",</w:t>
        <w:br/>
        <w:t xml:space="preserve">  "isDefault": null,</w:t>
        <w:br/>
        <w:t xml:space="preserve">  "dataOverageRateUnitFactor": 1.00,</w:t>
        <w:br/>
        <w:t xml:space="preserve">  "smsMoOverageRateUnitFactor": null,</w:t>
        <w:br/>
        <w:t xml:space="preserve">  "smsMtOverageRateUnitFactor": null,</w:t>
        <w:br/>
        <w:t xml:space="preserve">  "voiceMoOverageRateUnitFactor": null,</w:t>
        <w:br/>
        <w:t xml:space="preserve">  "voiceMtOverageRateUnitFactor": null,</w:t>
        <w:br/>
        <w:t xml:space="preserve">  "origZoneLabel": { "id": 1000 },</w:t>
        <w:br/>
        <w:t xml:space="preserve">  "destZoneLabel": { "id": 1001 },</w:t>
        <w:br/>
        <w:t xml:space="preserve">  "ratingGroup": null,</w:t>
        <w:br/>
        <w:t xml:space="preserve">  "timeSlot": null,</w:t>
        <w:br/>
        <w:t xml:space="preserve">  "rateplan": { "id": 3051 },</w:t>
        <w:br/>
        <w:t xml:space="preserve">  "serviceList": { "id": 3301 }</w:t>
        <w:br/>
        <w:t>}</w:t>
      </w:r>
    </w:p>
    <w:p>
      <w:pPr>
        <w:spacing w:after="160" w:before="40"/>
      </w:pPr>
      <w:r>
        <w:t>Data row 3524, service 3302, origin Zone2, no destination, rating group 1101.</w:t>
      </w:r>
    </w:p>
    <w:p>
      <w:pPr>
        <w:spacing w:before="80" w:after="160"/>
        <w:ind w:left="72"/>
        <w:shd w:val="clear" w:color="auto" w:fill="F4F6F8"/>
      </w:pPr>
      <w:r>
        <w:rPr>
          <w:rFonts w:ascii="Consolas" w:hAnsi="Consolas" w:eastAsia="Consolas"/>
          <w:b w:val="0"/>
          <w:sz w:val="16"/>
        </w:rPr>
        <w:t>POST /api/rate-details</w:t>
        <w:br/>
        <w:t>{</w:t>
        <w:br/>
        <w:t xml:space="preserve">  "tenantId": "5",</w:t>
        <w:br/>
        <w:t xml:space="preserve">  "dataOverageRate": 0.000000000000,</w:t>
        <w:br/>
        <w:t xml:space="preserve">  "dataOverageRateUnit": "MB",</w:t>
        <w:br/>
        <w:t xml:space="preserve">  "smsMoOverageRate": 0.00000,</w:t>
        <w:br/>
        <w:t xml:space="preserve">  "smsMoOverageRateUnit": "SMS",</w:t>
        <w:br/>
        <w:t xml:space="preserve">  "smsMtOverageRate": 0.00000,</w:t>
        <w:br/>
        <w:t xml:space="preserve">  "smsMtOverageRateUnit": "SMS",</w:t>
        <w:br/>
        <w:t xml:space="preserve">  "voiceMoOverageRate": 0.00000,</w:t>
        <w:br/>
        <w:t xml:space="preserve">  "voiceMoOverageRateUnit": "Minutes",</w:t>
        <w:br/>
        <w:t xml:space="preserve">  "voiceMtOverageRate": 0.00000,</w:t>
        <w:br/>
        <w:t xml:space="preserve">  "voiceMtOverageRateUnit": "Minutes",</w:t>
        <w:br/>
        <w:t xml:space="preserve">  "dataOverageRateUnitFactor": 1.00,</w:t>
        <w:br/>
        <w:t xml:space="preserve">  "origZoneLabel": { "id": 1002 },</w:t>
        <w:br/>
        <w:t xml:space="preserve">  "destZoneLabel": null,</w:t>
        <w:br/>
        <w:t xml:space="preserve">  "ratingGroup": { "id": 1101 },</w:t>
        <w:br/>
        <w:t xml:space="preserve">  "timeSlot": null,</w:t>
        <w:br/>
        <w:t xml:space="preserve">  "rateplan": { "id": 3051 },</w:t>
        <w:br/>
        <w:t xml:space="preserve">  "serviceList": { "id": 3302 }</w:t>
        <w:br/>
        <w:t>}</w:t>
      </w:r>
    </w:p>
    <w:p>
      <w:pPr>
        <w:spacing w:after="160" w:before="40"/>
      </w:pPr>
      <w:r>
        <w:t>Voice row 3529, service 3303, zone rtrt to zone East, 0.02000 per minute both directions.</w:t>
      </w:r>
    </w:p>
    <w:p>
      <w:pPr>
        <w:spacing w:before="80" w:after="160"/>
        <w:ind w:left="72"/>
        <w:shd w:val="clear" w:color="auto" w:fill="F4F6F8"/>
      </w:pPr>
      <w:r>
        <w:rPr>
          <w:rFonts w:ascii="Consolas" w:hAnsi="Consolas" w:eastAsia="Consolas"/>
          <w:b w:val="0"/>
          <w:sz w:val="16"/>
        </w:rPr>
        <w:t>POST /api/rate-details</w:t>
        <w:br/>
        <w:t>{</w:t>
        <w:br/>
        <w:t xml:space="preserve">  "tenantId": "5",</w:t>
        <w:br/>
        <w:t xml:space="preserve">  "dataOverageRate": 0.000000000000,</w:t>
        <w:br/>
        <w:t xml:space="preserve">  "dataOverageRateUnit": "MB",</w:t>
        <w:br/>
        <w:t xml:space="preserve">  "smsMoOverageRate": 0.00000,</w:t>
        <w:br/>
        <w:t xml:space="preserve">  "smsMoOverageRateUnit": "SMS",</w:t>
        <w:br/>
        <w:t xml:space="preserve">  "smsMtOverageRate": 0.00000,</w:t>
        <w:br/>
        <w:t xml:space="preserve">  "smsMtOverageRateUnit": "SMS",</w:t>
        <w:br/>
        <w:t xml:space="preserve">  "voiceMoOverageRate": 0.02000,</w:t>
        <w:br/>
        <w:t xml:space="preserve">  "voiceMoOverageRateUnit": "Minutes",</w:t>
        <w:br/>
        <w:t xml:space="preserve">  "voiceMtOverageRate": 0.02000,</w:t>
        <w:br/>
        <w:t xml:space="preserve">  "voiceMtOverageRateUnit": "Minutes",</w:t>
        <w:br/>
        <w:t xml:space="preserve">  "dataOverageRateUnitFactor": 1.00,</w:t>
        <w:br/>
        <w:t xml:space="preserve">  "origZoneLabel": { "id": 1452 },</w:t>
        <w:br/>
        <w:t xml:space="preserve">  "destZoneLabel": { "id": 2852 },</w:t>
        <w:br/>
        <w:t xml:space="preserve">  "ratingGroup": null,</w:t>
        <w:br/>
        <w:t xml:space="preserve">  "timeSlot": null,</w:t>
        <w:br/>
        <w:t xml:space="preserve">  "rateplan": { "id": 3051 },</w:t>
        <w:br/>
        <w:t xml:space="preserve">  "serviceList": { "id": 3303 }</w:t>
        <w:br/>
        <w:t>}</w:t>
      </w:r>
    </w:p>
    <w:p>
      <w:pPr>
        <w:spacing w:after="160" w:before="40"/>
      </w:pPr>
      <w:r>
        <w:t>GET /api/rate-details returns all 3188 dump rows when the catalog has been loaded, as a JSON array. GET /api/rate-details/3529 returns the voice row above with id 3529.</w:t>
      </w:r>
    </w:p>
    <w:p>
      <w:pPr>
        <w:pStyle w:val="Heading2"/>
      </w:pPr>
      <w:r>
        <w:t>7.6 Included counters  POST /api/included-counters</w:t>
      </w:r>
    </w:p>
    <w:p>
      <w:pPr>
        <w:spacing w:after="160" w:before="40"/>
      </w:pPr>
      <w:r>
        <w:t>Dump row 3351. The band rtrt_tets becomes origin 1452 and destination 2851. All allowances are zero.</w:t>
      </w:r>
    </w:p>
    <w:p>
      <w:pPr>
        <w:spacing w:before="80" w:after="160"/>
        <w:ind w:left="72"/>
        <w:shd w:val="clear" w:color="auto" w:fill="F4F6F8"/>
      </w:pPr>
      <w:r>
        <w:rPr>
          <w:rFonts w:ascii="Consolas" w:hAnsi="Consolas" w:eastAsia="Consolas"/>
          <w:b w:val="0"/>
          <w:sz w:val="16"/>
        </w:rPr>
        <w:t>POST /api/included-counters</w:t>
        <w:br/>
        <w:t>{</w:t>
        <w:br/>
        <w:t xml:space="preserve">  "counterData": 0,</w:t>
        <w:br/>
        <w:t xml:space="preserve">  "counterSmsMo": 0,</w:t>
        <w:br/>
        <w:t xml:space="preserve">  "counterSmsMt": 0,</w:t>
        <w:br/>
        <w:t xml:space="preserve">  "counterVoiceMo": 0,</w:t>
        <w:br/>
        <w:t xml:space="preserve">  "counterVoiceMt": 0,</w:t>
        <w:br/>
        <w:t xml:space="preserve">  "rolloverData": false,</w:t>
        <w:br/>
        <w:t xml:space="preserve">  "rolloverDataDuration": 0,</w:t>
        <w:br/>
        <w:t xml:space="preserve">  "rolloverVoiceMo": false,</w:t>
        <w:br/>
        <w:t xml:space="preserve">  "rolloverVoiceMoDuration": 0,</w:t>
        <w:br/>
        <w:t xml:space="preserve">  "rolloverSmsMo": false,</w:t>
        <w:br/>
        <w:t xml:space="preserve">  "rolloverSmsMoDuration": 0,</w:t>
        <w:br/>
        <w:t xml:space="preserve">  "counterDataUnit": "MB",</w:t>
        <w:br/>
        <w:t xml:space="preserve">  "counterSmsMoUnit": "SMS",</w:t>
        <w:br/>
        <w:t xml:space="preserve">  "counterSmsMtUnit": "SMS",</w:t>
        <w:br/>
        <w:t xml:space="preserve">  "counterVoiceMoUnit": "Minutes",</w:t>
        <w:br/>
        <w:t xml:space="preserve">  "counterVoiceMtUnit": "Minutes",</w:t>
        <w:br/>
        <w:t xml:space="preserve">  "renewOnQuotaExhaust": false,</w:t>
        <w:br/>
        <w:t xml:space="preserve">  "origZoneLabel": { "id": 1452 },</w:t>
        <w:br/>
        <w:t xml:space="preserve">  "destZoneLabel": { "id": 2851 },</w:t>
        <w:br/>
        <w:t xml:space="preserve">  "ratingGroup": null,</w:t>
        <w:br/>
        <w:t xml:space="preserve">  "rateplan": { "id": 3051 },</w:t>
        <w:br/>
        <w:t xml:space="preserve">  "serviceList": { "id": 3301 },</w:t>
        <w:br/>
        <w:t xml:space="preserve">  "timeSlot": null</w:t>
        <w:br/>
        <w:t>}</w:t>
      </w:r>
    </w:p>
    <w:p>
      <w:pPr>
        <w:pStyle w:val="Heading2"/>
      </w:pPr>
      <w:r>
        <w:t>7.7 Tier volume  POST /api/tier-volume-details</w:t>
      </w:r>
    </w:p>
    <w:p>
      <w:pPr>
        <w:spacing w:after="160" w:before="40"/>
      </w:pPr>
      <w:r>
        <w:t>Plan 3051 has no tier rows. This example is dump row 2803 on plan 2452 (name test10, status Locked), service 2656 Voice, rate detail 2764. Dump band 2611 Test_Default Zone becomes origin zone 1451 Test and destination zone 1000 Default Zone. mrc is decimal(32,12).</w:t>
      </w:r>
    </w:p>
    <w:p>
      <w:pPr>
        <w:spacing w:before="80" w:after="160"/>
        <w:ind w:left="72"/>
        <w:shd w:val="clear" w:color="auto" w:fill="F4F6F8"/>
      </w:pPr>
      <w:r>
        <w:rPr>
          <w:rFonts w:ascii="Consolas" w:hAnsi="Consolas" w:eastAsia="Consolas"/>
          <w:b w:val="0"/>
          <w:sz w:val="16"/>
        </w:rPr>
        <w:t>POST /api/tier-volume-details</w:t>
        <w:br/>
        <w:t>{</w:t>
        <w:br/>
        <w:t xml:space="preserve">  "mrc": 0.00000,</w:t>
        <w:br/>
        <w:t xml:space="preserve">  "ratingTypeMrc": null,</w:t>
        <w:br/>
        <w:t xml:space="preserve">  "ratingTypeUsage": "TIERED",</w:t>
        <w:br/>
        <w:t xml:space="preserve">  "tenantId": "5",</w:t>
        <w:br/>
        <w:t xml:space="preserve">  "tierLimit": "10",</w:t>
        <w:br/>
        <w:t xml:space="preserve">  "origZoneLabel": { "id": 1451 },</w:t>
        <w:br/>
        <w:t xml:space="preserve">  "destZoneLabel": { "id": 1000 },</w:t>
        <w:br/>
        <w:t xml:space="preserve">  "rateDetail": { "id": 2764 },</w:t>
        <w:br/>
        <w:t xml:space="preserve">  "rateplan": { "id": 2452 },</w:t>
        <w:br/>
        <w:t xml:space="preserve">  "ratingGroup": null,</w:t>
        <w:br/>
        <w:t xml:space="preserve">  "serviceList": { "id": 2656 }</w:t>
        <w:br/>
        <w:t>}</w:t>
      </w:r>
    </w:p>
    <w:p>
      <w:pPr>
        <w:pStyle w:val="Heading2"/>
      </w:pPr>
      <w:r>
        <w:t>7.8 Lifecycle state of the plan  POST /api/rateplan-lc-state-models</w:t>
      </w:r>
    </w:p>
    <w:p>
      <w:pPr>
        <w:spacing w:after="160" w:before="40"/>
      </w:pPr>
      <w:r>
        <w:t>One row per plan. A second row with the same rateplan id fails the unique constraint. Dump row 3101.</w:t>
      </w:r>
    </w:p>
    <w:p>
      <w:pPr>
        <w:spacing w:before="80" w:after="160"/>
        <w:ind w:left="72"/>
        <w:shd w:val="clear" w:color="auto" w:fill="F4F6F8"/>
      </w:pPr>
      <w:r>
        <w:rPr>
          <w:rFonts w:ascii="Consolas" w:hAnsi="Consolas" w:eastAsia="Consolas"/>
          <w:b w:val="0"/>
          <w:sz w:val="16"/>
        </w:rPr>
        <w:t>POST /api/rateplan-lc-state-models</w:t>
        <w:br/>
        <w:t>{</w:t>
        <w:br/>
        <w:t xml:space="preserve">  "rateplanName": "TEST_ATT_DEMO_INDV",</w:t>
        <w:br/>
        <w:t xml:space="preserve">  "tenantId": "5",</w:t>
        <w:br/>
        <w:t xml:space="preserve">  "currentLcState": "Approved",</w:t>
        <w:br/>
        <w:t xml:space="preserve">  "rateplan": { "id": 3051 },</w:t>
        <w:br/>
        <w:t xml:space="preserve">  "lifecycle": { "id": 1201 }</w:t>
        <w:br/>
        <w:t>}</w:t>
      </w:r>
    </w:p>
    <w:p>
      <w:pPr>
        <w:spacing w:after="160" w:before="40"/>
      </w:pPr>
      <w:r>
        <w:t>GET /api/rateplan-lc-state-models/3101 returns createdDate 2025-06-30T17:52:21.670527Z and modifiedDate 2025-06-30T17:55:24.241852Z when those dump timestamps are stored.</w:t>
      </w:r>
    </w:p>
    <w:p>
      <w:pPr>
        <w:pStyle w:val="Heading2"/>
      </w:pPr>
      <w:r>
        <w:t>7.9 SGSN IP, special number, and master offer</w:t>
      </w:r>
    </w:p>
    <w:p>
      <w:pPr>
        <w:spacing w:after="160" w:before="40"/>
      </w:pPr>
      <w:r>
        <w:t>The dump has zero rows in sgsn_ip_list, special_number, and master_offer_id. The resources still exist. Shapes:</w:t>
      </w:r>
    </w:p>
    <w:p>
      <w:pPr>
        <w:spacing w:before="80" w:after="160"/>
        <w:ind w:left="72"/>
        <w:shd w:val="clear" w:color="auto" w:fill="F4F6F8"/>
      </w:pPr>
      <w:r>
        <w:rPr>
          <w:rFonts w:ascii="Consolas" w:hAnsi="Consolas" w:eastAsia="Consolas"/>
          <w:b w:val="0"/>
          <w:sz w:val="16"/>
        </w:rPr>
        <w:t>POST /api/sgsn-ip-lists</w:t>
        <w:br/>
        <w:t>{</w:t>
        <w:br/>
        <w:t xml:space="preserve">  "sgsnIp": "10.0.0.8",</w:t>
        <w:br/>
        <w:t xml:space="preserve">  "tenantId": "5",</w:t>
        <w:br/>
        <w:t xml:space="preserve">  "networkIdentity": { "id": 899 }</w:t>
        <w:br/>
        <w:t>}</w:t>
        <w:br/>
        <w:br/>
        <w:t>POST /api/special-numbers</w:t>
        <w:br/>
        <w:t>{</w:t>
        <w:br/>
        <w:t xml:space="preserve">  "tenantId": "5",</w:t>
        <w:br/>
        <w:t xml:space="preserve">  "inputNum": 112,</w:t>
        <w:br/>
        <w:t xml:space="preserve">  "translatedNum": 112,</w:t>
        <w:br/>
        <w:t xml:space="preserve">  "zoneLabel": { "id": 1001 }</w:t>
        <w:br/>
        <w:t>}</w:t>
        <w:br/>
        <w:br/>
        <w:t>POST /api/master-offer-ids</w:t>
        <w:br/>
        <w:t>{</w:t>
        <w:br/>
        <w:t xml:space="preserve">  "offerId": "OFFER-1",</w:t>
        <w:br/>
        <w:t xml:space="preserve">  "offerName": "Sample offer"</w:t>
        <w:br/>
        <w:t>}</w:t>
      </w:r>
    </w:p>
    <w:p>
      <w:pPr>
        <w:spacing w:after="160" w:before="40"/>
      </w:pPr>
      <w:r>
        <w:t>The three bodies above are the field shape only. They are not rows from the dump. inputNum and translatedNum are JSON numbers (bigint).</w:t>
      </w:r>
    </w:p>
    <w:p>
      <w:pPr>
        <w:pStyle w:val="Heading1"/>
      </w:pPr>
      <w:r>
        <w:t>8. Call sequence for the sample plan</w:t>
      </w:r>
    </w:p>
    <w:p>
      <w:pPr>
        <w:spacing w:after="160" w:before="40"/>
      </w:pPr>
      <w:r>
        <w:t>Create, in this order, using the bodies in sections 6 and 7. Keep each returned id and use it in the next call. The numbers in those bodies are the dump ids; a fresh database will assign new ids.</w:t>
      </w:r>
    </w:p>
    <w:p>
      <w:pPr>
        <w:pStyle w:val="ListNumber"/>
        <w:spacing w:after="40"/>
      </w:pPr>
      <w:r>
        <w:t>POST /api/currencies for EUR (and ARS if the account profile example is loaded).</w:t>
      </w:r>
    </w:p>
    <w:p>
      <w:pPr>
        <w:pStyle w:val="ListNumber"/>
        <w:spacing w:after="40"/>
      </w:pPr>
      <w:r>
        <w:t>POST /api/countries for Andorra, then POST /api/tadig-codes for ANDMA, then POST /api/network-identities for ANDORRA TELECOM.</w:t>
      </w:r>
    </w:p>
    <w:p>
      <w:pPr>
        <w:pStyle w:val="ListNumber"/>
        <w:spacing w:after="40"/>
      </w:pPr>
      <w:r>
        <w:t>POST /api/unit-types for MB and the other units the rate rows name.</w:t>
      </w:r>
    </w:p>
    <w:p>
      <w:pPr>
        <w:pStyle w:val="ListNumber"/>
        <w:spacing w:after="40"/>
      </w:pPr>
      <w:r>
        <w:t>POST /api/lifecycles, then POST /api/states for each of the six names, then POST /api/state-transitions for each allowed pair.</w:t>
      </w:r>
    </w:p>
    <w:p>
      <w:pPr>
        <w:pStyle w:val="ListNumber"/>
        <w:spacing w:after="40"/>
      </w:pPr>
      <w:r>
        <w:t>POST /api/billing-cycles, then POST /api/account-billing-profiles.</w:t>
      </w:r>
    </w:p>
    <w:p>
      <w:pPr>
        <w:pStyle w:val="ListNumber"/>
        <w:spacing w:after="40"/>
      </w:pPr>
      <w:r>
        <w:t>POST /api/zone-labels for each zone, including networkIdentities where the dump links them.</w:t>
      </w:r>
    </w:p>
    <w:p>
      <w:pPr>
        <w:pStyle w:val="ListNumber"/>
        <w:spacing w:after="40"/>
      </w:pPr>
      <w:r>
        <w:t>POST /api/time-intervals for FULLDAY, then POST /api/time-slots for any slot that a rate row will reference.</w:t>
      </w:r>
    </w:p>
    <w:p>
      <w:pPr>
        <w:pStyle w:val="ListNumber"/>
        <w:spacing w:after="40"/>
      </w:pPr>
      <w:r>
        <w:t>POST /api/rating-groups for rg 0 and rg 2.</w:t>
      </w:r>
    </w:p>
    <w:p>
      <w:pPr>
        <w:pStyle w:val="ListNumber"/>
        <w:spacing w:after="40"/>
      </w:pPr>
      <w:r>
        <w:t>POST /api/rateplans with lifecycle, time interval, and ratingGroups.</w:t>
      </w:r>
    </w:p>
    <w:p>
      <w:pPr>
        <w:pStyle w:val="ListNumber"/>
        <w:spacing w:after="40"/>
      </w:pPr>
      <w:r>
        <w:t>POST /api/zone-label-priorities once per zone side.</w:t>
      </w:r>
    </w:p>
    <w:p>
      <w:pPr>
        <w:pStyle w:val="ListNumber"/>
        <w:spacing w:after="40"/>
      </w:pPr>
      <w:r>
        <w:t>POST /api/service-lists for Data, SMS, and Voice.</w:t>
      </w:r>
    </w:p>
    <w:p>
      <w:pPr>
        <w:pStyle w:val="ListNumber"/>
        <w:spacing w:after="40"/>
      </w:pPr>
      <w:r>
        <w:t>POST /api/rate-details and POST /api/included-counters for each zone and service combination. The dump has 144 of each for this plan.</w:t>
      </w:r>
    </w:p>
    <w:p>
      <w:pPr>
        <w:pStyle w:val="ListNumber"/>
        <w:spacing w:after="40"/>
      </w:pPr>
      <w:r>
        <w:t>POST /api/tier-volume-details only when the plan has tiers. This plan does not.</w:t>
      </w:r>
    </w:p>
    <w:p>
      <w:pPr>
        <w:pStyle w:val="ListNumber"/>
        <w:spacing w:after="40"/>
      </w:pPr>
      <w:r>
        <w:t>POST /api/rateplan-lc-state-models once, with currentLcState Approved.</w:t>
      </w:r>
    </w:p>
    <w:p>
      <w:pPr>
        <w:pStyle w:val="ListNumber"/>
        <w:spacing w:after="40"/>
      </w:pPr>
      <w:r>
        <w:t>GET /api/rateplans/{id} and confirm lifecycle, time interval, and both rating groups. GET /api/rate-details/{id} and confirm origin zone, destination zone, and the voice price 0.02000.</w:t>
      </w:r>
    </w:p>
    <w:p>
      <w:pPr>
        <w:pStyle w:val="Heading1"/>
      </w:pPr>
      <w:r>
        <w:t>9. Kafka helper</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F4E79"/>
          </w:tcPr>
          <w:p>
            <w:r/>
            <w:r>
              <w:rPr>
                <w:rFonts w:ascii="Calibri" w:hAnsi="Calibri" w:eastAsia="Calibri"/>
                <w:b/>
                <w:color w:val="FFFFFF"/>
                <w:sz w:val="18"/>
              </w:rPr>
              <w:t>Method</w:t>
            </w:r>
          </w:p>
        </w:tc>
        <w:tc>
          <w:tcPr>
            <w:tcW w:type="dxa" w:w="3326"/>
            <w:shd w:val="clear" w:color="auto" w:fill="1F4E79"/>
          </w:tcPr>
          <w:p>
            <w:r/>
            <w:r>
              <w:rPr>
                <w:rFonts w:ascii="Calibri" w:hAnsi="Calibri" w:eastAsia="Calibri"/>
                <w:b/>
                <w:color w:val="FFFFFF"/>
                <w:sz w:val="18"/>
              </w:rPr>
              <w:t>Path</w:t>
            </w:r>
          </w:p>
        </w:tc>
        <w:tc>
          <w:tcPr>
            <w:tcW w:type="dxa" w:w="3326"/>
            <w:shd w:val="clear" w:color="auto" w:fill="1F4E79"/>
          </w:tcPr>
          <w:p>
            <w:r/>
            <w:r>
              <w:rPr>
                <w:rFonts w:ascii="Calibri" w:hAnsi="Calibri" w:eastAsia="Calibri"/>
                <w:b/>
                <w:color w:val="FFFFFF"/>
                <w:sz w:val="18"/>
              </w:rPr>
              <w:t>Behaviour</w:t>
            </w:r>
          </w:p>
        </w:tc>
      </w:tr>
      <w:tr>
        <w:tc>
          <w:tcPr>
            <w:tcW w:type="dxa" w:w="3326"/>
          </w:tcPr>
          <w:p>
            <w:r/>
            <w:r>
              <w:rPr>
                <w:rFonts w:ascii="Calibri" w:hAnsi="Calibri" w:eastAsia="Calibri"/>
                <w:b w:val="0"/>
                <w:sz w:val="16"/>
              </w:rPr>
              <w:t>POST</w:t>
            </w:r>
          </w:p>
        </w:tc>
        <w:tc>
          <w:tcPr>
            <w:tcW w:type="dxa" w:w="3326"/>
          </w:tcPr>
          <w:p>
            <w:r/>
            <w:r>
              <w:rPr>
                <w:rFonts w:ascii="Calibri" w:hAnsi="Calibri" w:eastAsia="Calibri"/>
                <w:b w:val="0"/>
                <w:sz w:val="16"/>
              </w:rPr>
              <w:t>/api/connect-rateplan-kafka/publish?message={text}</w:t>
            </w:r>
          </w:p>
        </w:tc>
        <w:tc>
          <w:tcPr>
            <w:tcW w:type="dxa" w:w="3326"/>
          </w:tcPr>
          <w:p>
            <w:r/>
            <w:r>
              <w:rPr>
                <w:rFonts w:ascii="Calibri" w:hAnsi="Calibri" w:eastAsia="Calibri"/>
                <w:b w:val="0"/>
                <w:sz w:val="16"/>
              </w:rPr>
              <w:t>Sends the query text to the Stream binding binding-out-0. Empty response.</w:t>
            </w:r>
          </w:p>
        </w:tc>
      </w:tr>
      <w:tr>
        <w:tc>
          <w:tcPr>
            <w:tcW w:type="dxa" w:w="3326"/>
            <w:shd w:val="clear" w:color="auto" w:fill="F3F7FB"/>
          </w:tcPr>
          <w:p>
            <w:r/>
            <w:r>
              <w:rPr>
                <w:rFonts w:ascii="Calibri" w:hAnsi="Calibri" w:eastAsia="Calibri"/>
                <w:b w:val="0"/>
                <w:sz w:val="16"/>
              </w:rPr>
              <w:t>GET</w:t>
            </w:r>
          </w:p>
        </w:tc>
        <w:tc>
          <w:tcPr>
            <w:tcW w:type="dxa" w:w="3326"/>
            <w:shd w:val="clear" w:color="auto" w:fill="F3F7FB"/>
          </w:tcPr>
          <w:p>
            <w:r/>
            <w:r>
              <w:rPr>
                <w:rFonts w:ascii="Calibri" w:hAnsi="Calibri" w:eastAsia="Calibri"/>
                <w:b w:val="0"/>
                <w:sz w:val="16"/>
              </w:rPr>
              <w:t>/api/connect-rateplan-kafka/register</w:t>
            </w:r>
          </w:p>
        </w:tc>
        <w:tc>
          <w:tcPr>
            <w:tcW w:type="dxa" w:w="3326"/>
            <w:shd w:val="clear" w:color="auto" w:fill="F3F7FB"/>
          </w:tcPr>
          <w:p>
            <w:r/>
            <w:r>
              <w:rPr>
                <w:rFonts w:ascii="Calibri" w:hAnsi="Calibri" w:eastAsia="Calibri"/>
                <w:b w:val="0"/>
                <w:sz w:val="16"/>
              </w:rPr>
              <w:t>Registers the authenticated user name and returns a ResponseBodyEmitter for consumed messages.</w:t>
            </w:r>
          </w:p>
        </w:tc>
      </w:tr>
      <w:tr>
        <w:tc>
          <w:tcPr>
            <w:tcW w:type="dxa" w:w="3326"/>
          </w:tcPr>
          <w:p>
            <w:r/>
            <w:r>
              <w:rPr>
                <w:rFonts w:ascii="Calibri" w:hAnsi="Calibri" w:eastAsia="Calibri"/>
                <w:b w:val="0"/>
                <w:sz w:val="16"/>
              </w:rPr>
              <w:t>GET</w:t>
            </w:r>
          </w:p>
        </w:tc>
        <w:tc>
          <w:tcPr>
            <w:tcW w:type="dxa" w:w="3326"/>
          </w:tcPr>
          <w:p>
            <w:r/>
            <w:r>
              <w:rPr>
                <w:rFonts w:ascii="Calibri" w:hAnsi="Calibri" w:eastAsia="Calibri"/>
                <w:b w:val="0"/>
                <w:sz w:val="16"/>
              </w:rPr>
              <w:t>/api/connect-rateplan-kafka/unregister</w:t>
            </w:r>
          </w:p>
        </w:tc>
        <w:tc>
          <w:tcPr>
            <w:tcW w:type="dxa" w:w="3326"/>
          </w:tcPr>
          <w:p>
            <w:r/>
            <w:r>
              <w:rPr>
                <w:rFonts w:ascii="Calibri" w:hAnsi="Calibri" w:eastAsia="Calibri"/>
                <w:b w:val="0"/>
                <w:sz w:val="16"/>
              </w:rPr>
              <w:t>Removes that registration.</w:t>
            </w:r>
          </w:p>
        </w:tc>
      </w:tr>
    </w:tbl>
    <w:p/>
    <w:p>
      <w:pPr>
        <w:spacing w:before="80" w:after="160"/>
        <w:ind w:left="72"/>
        <w:shd w:val="clear" w:color="auto" w:fill="F4F6F8"/>
      </w:pPr>
      <w:r>
        <w:rPr>
          <w:rFonts w:ascii="Consolas" w:hAnsi="Consolas" w:eastAsia="Consolas"/>
          <w:b w:val="0"/>
          <w:sz w:val="16"/>
        </w:rPr>
        <w:t>POST /api/connect-rateplan-kafka/publish?message=TEST_ATT_DEMO_INDV</w:t>
        <w:br/>
        <w:t>HTTP/1.1 200</w:t>
      </w:r>
    </w:p>
    <w:p>
      <w:pPr>
        <w:pStyle w:val="Heading1"/>
      </w:pPr>
      <w:r>
        <w:t>10. Field checklist for decimal columns</w:t>
      </w:r>
    </w:p>
    <w:p>
      <w:pPr>
        <w:spacing w:after="160" w:before="40"/>
      </w:pPr>
      <w:r>
        <w:t>These JSON properties are decimal(32,12) in the database. The sample numbers are the dump values and all fit in that precision.</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F4E79"/>
          </w:tcPr>
          <w:p>
            <w:r/>
            <w:r>
              <w:rPr>
                <w:rFonts w:ascii="Calibri" w:hAnsi="Calibri" w:eastAsia="Calibri"/>
                <w:b/>
                <w:color w:val="FFFFFF"/>
                <w:sz w:val="18"/>
              </w:rPr>
              <w:t>Resource</w:t>
            </w:r>
          </w:p>
        </w:tc>
        <w:tc>
          <w:tcPr>
            <w:tcW w:type="dxa" w:w="4989"/>
            <w:shd w:val="clear" w:color="auto" w:fill="1F4E79"/>
          </w:tcPr>
          <w:p>
            <w:r/>
            <w:r>
              <w:rPr>
                <w:rFonts w:ascii="Calibri" w:hAnsi="Calibri" w:eastAsia="Calibri"/>
                <w:b/>
                <w:color w:val="FFFFFF"/>
                <w:sz w:val="18"/>
              </w:rPr>
              <w:t>Properties</w:t>
            </w:r>
          </w:p>
        </w:tc>
      </w:tr>
      <w:tr>
        <w:tc>
          <w:tcPr>
            <w:tcW w:type="dxa" w:w="4989"/>
          </w:tcPr>
          <w:p>
            <w:r/>
            <w:r>
              <w:rPr>
                <w:rFonts w:ascii="Calibri" w:hAnsi="Calibri" w:eastAsia="Calibri"/>
                <w:b w:val="0"/>
                <w:sz w:val="16"/>
              </w:rPr>
              <w:t>Account billing profile</w:t>
            </w:r>
          </w:p>
        </w:tc>
        <w:tc>
          <w:tcPr>
            <w:tcW w:type="dxa" w:w="4989"/>
          </w:tcPr>
          <w:p>
            <w:r/>
            <w:r>
              <w:rPr>
                <w:rFonts w:ascii="Calibri" w:hAnsi="Calibri" w:eastAsia="Calibri"/>
                <w:b w:val="0"/>
                <w:sz w:val="16"/>
              </w:rPr>
              <w:t>creditLimit</w:t>
            </w:r>
          </w:p>
        </w:tc>
      </w:tr>
      <w:tr>
        <w:tc>
          <w:tcPr>
            <w:tcW w:type="dxa" w:w="4989"/>
            <w:shd w:val="clear" w:color="auto" w:fill="F3F7FB"/>
          </w:tcPr>
          <w:p>
            <w:r/>
            <w:r>
              <w:rPr>
                <w:rFonts w:ascii="Calibri" w:hAnsi="Calibri" w:eastAsia="Calibri"/>
                <w:b w:val="0"/>
                <w:sz w:val="16"/>
              </w:rPr>
              <w:t>Rate plan</w:t>
            </w:r>
          </w:p>
        </w:tc>
        <w:tc>
          <w:tcPr>
            <w:tcW w:type="dxa" w:w="4989"/>
            <w:shd w:val="clear" w:color="auto" w:fill="F3F7FB"/>
          </w:tcPr>
          <w:p>
            <w:r/>
            <w:r>
              <w:rPr>
                <w:rFonts w:ascii="Calibri" w:hAnsi="Calibri" w:eastAsia="Calibri"/>
                <w:b w:val="0"/>
                <w:sz w:val="16"/>
              </w:rPr>
              <w:t>activationFee, networkAccessFee, subscriptionFee, cancellationFee, additionalFees, reActivationFee, poolActivationFee, poolSubscriptionFee, fixedActiveFee, suspendFee, suspendedSimMrc, unsuspendFee, deactivationFee</w:t>
            </w:r>
          </w:p>
        </w:tc>
      </w:tr>
      <w:tr>
        <w:tc>
          <w:tcPr>
            <w:tcW w:type="dxa" w:w="4989"/>
          </w:tcPr>
          <w:p>
            <w:r/>
            <w:r>
              <w:rPr>
                <w:rFonts w:ascii="Calibri" w:hAnsi="Calibri" w:eastAsia="Calibri"/>
                <w:b w:val="0"/>
                <w:sz w:val="16"/>
              </w:rPr>
              <w:t>Rate details</w:t>
            </w:r>
          </w:p>
        </w:tc>
        <w:tc>
          <w:tcPr>
            <w:tcW w:type="dxa" w:w="4989"/>
          </w:tcPr>
          <w:p>
            <w:r/>
            <w:r>
              <w:rPr>
                <w:rFonts w:ascii="Calibri" w:hAnsi="Calibri" w:eastAsia="Calibri"/>
                <w:b w:val="0"/>
                <w:sz w:val="16"/>
              </w:rPr>
              <w:t>dataOverageRate, smsMoOverageRate, smsMtOverageRate, voiceMoOverageRate, voiceMtOverageRate, dataOverageRateUnitFactor, smsMoOverageRateUnitFactor, smsMtOverageRateUnitFactor, voiceMoOverageRateUnitFactor, voiceMtOverageRateUnitFactor</w:t>
            </w:r>
          </w:p>
        </w:tc>
      </w:tr>
      <w:tr>
        <w:tc>
          <w:tcPr>
            <w:tcW w:type="dxa" w:w="4989"/>
            <w:shd w:val="clear" w:color="auto" w:fill="F3F7FB"/>
          </w:tcPr>
          <w:p>
            <w:r/>
            <w:r>
              <w:rPr>
                <w:rFonts w:ascii="Calibri" w:hAnsi="Calibri" w:eastAsia="Calibri"/>
                <w:b w:val="0"/>
                <w:sz w:val="16"/>
              </w:rPr>
              <w:t>Tier volume details</w:t>
            </w:r>
          </w:p>
        </w:tc>
        <w:tc>
          <w:tcPr>
            <w:tcW w:type="dxa" w:w="4989"/>
            <w:shd w:val="clear" w:color="auto" w:fill="F3F7FB"/>
          </w:tcPr>
          <w:p>
            <w:r/>
            <w:r>
              <w:rPr>
                <w:rFonts w:ascii="Calibri" w:hAnsi="Calibri" w:eastAsia="Calibri"/>
                <w:b w:val="0"/>
                <w:sz w:val="16"/>
              </w:rPr>
              <w:t>mrc</w:t>
            </w:r>
          </w:p>
        </w:tc>
      </w:tr>
    </w:tbl>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666666"/>
        <w:sz w:val="18"/>
      </w:rPr>
      <w:t xml:space="preserve">API Specification  |  page </w:t>
    </w:r>
    <w:r>
      <w:rPr>
        <w:rFonts w:ascii="Calibri" w:hAnsi="Calibri" w:eastAsia="Calibri"/>
        <w:b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Specification</dc:title>
  <dc:subject>Connect Rateplan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Specification</cp:category>
</cp:coreProperties>
</file>