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267"/>
        <w:gridCol w:w="1515"/>
        <w:gridCol w:w="6080"/>
      </w:tblGrid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b/>
                <w:color w:val="000000"/>
                <w:sz w:val="20"/>
                <w:szCs w:val="20"/>
              </w:rPr>
            </w:pPr>
            <w:r w:rsidRPr="00970DD9">
              <w:rPr>
                <w:rFonts w:ascii="Times" w:hAnsi="Times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b/>
                <w:color w:val="000000"/>
                <w:sz w:val="20"/>
                <w:szCs w:val="20"/>
              </w:rPr>
            </w:pPr>
            <w:r w:rsidRPr="00970DD9">
              <w:rPr>
                <w:rFonts w:ascii="Times" w:hAnsi="Times"/>
                <w:b/>
                <w:color w:val="000000"/>
                <w:sz w:val="20"/>
                <w:szCs w:val="20"/>
              </w:rPr>
              <w:t>Examples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b/>
                <w:color w:val="000000"/>
                <w:sz w:val="20"/>
                <w:szCs w:val="20"/>
              </w:rPr>
            </w:pPr>
            <w:r w:rsidRPr="00970DD9">
              <w:rPr>
                <w:rFonts w:ascii="Times" w:hAnsi="Times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action</w:t>
            </w:r>
            <w:proofErr w:type="gram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_target</w:t>
            </w:r>
            <w:proofErr w:type="spellEnd"/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listing</w:t>
            </w:r>
            <w:proofErr w:type="gram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_profile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 w:rsidRPr="00970DD9">
              <w:rPr>
                <w:rFonts w:ascii="Times" w:hAnsi="Times"/>
                <w:color w:val="333333"/>
                <w:sz w:val="20"/>
                <w:szCs w:val="20"/>
              </w:rPr>
              <w:t>The type of the object you are displaying. See below. (Required) </w:t>
            </w:r>
          </w:p>
        </w:tc>
      </w:tr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listing</w:t>
            </w:r>
            <w:proofErr w:type="gram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>
              <w:rPr>
                <w:rFonts w:ascii="Times" w:hAnsi="Times"/>
                <w:color w:val="333333"/>
                <w:sz w:val="20"/>
                <w:szCs w:val="20"/>
              </w:rPr>
              <w:t>From Admin in Step 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The unique 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Citysearch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identifier of the business or event associated with this impression. (Required) </w:t>
            </w:r>
          </w:p>
        </w:tc>
      </w:tr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reference</w:t>
            </w:r>
            <w:proofErr w:type="gram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>
              <w:rPr>
                <w:rFonts w:ascii="Times" w:hAnsi="Times"/>
                <w:color w:val="333333"/>
                <w:sz w:val="20"/>
                <w:szCs w:val="20"/>
              </w:rPr>
              <w:t>From Profile API response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The tracking identifier for the business that you obtained from either a feed or a previous 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webservice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call. (Required) </w:t>
            </w:r>
          </w:p>
        </w:tc>
      </w:tr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publisher</w:t>
            </w:r>
            <w:proofErr w:type="gramEnd"/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rPr>
                <w:rFonts w:ascii="Times" w:hAnsi="Times"/>
                <w:sz w:val="20"/>
                <w:szCs w:val="20"/>
              </w:rPr>
            </w:pPr>
            <w:r w:rsidRPr="00970DD9">
              <w:rPr>
                <w:rFonts w:ascii="Arial" w:hAnsi="Arial"/>
                <w:color w:val="000000"/>
                <w:sz w:val="20"/>
                <w:szCs w:val="20"/>
              </w:rPr>
              <w:t>0905768917</w:t>
            </w:r>
          </w:p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 w:rsidRPr="00970DD9">
              <w:rPr>
                <w:rFonts w:ascii="Times" w:hAnsi="Times"/>
                <w:color w:val="333333"/>
                <w:sz w:val="20"/>
                <w:szCs w:val="20"/>
              </w:rPr>
              <w:t>The publisher code that identifies you so that you get credit. (Required) </w:t>
            </w:r>
          </w:p>
        </w:tc>
      </w:tr>
      <w:tr w:rsidR="00970DD9" w:rsidRPr="00970DD9" w:rsidTr="00970DD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placement</w:t>
            </w:r>
            <w:proofErr w:type="gramEnd"/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>
              <w:rPr>
                <w:rFonts w:ascii="Times" w:hAnsi="Times"/>
                <w:color w:val="333333"/>
                <w:sz w:val="20"/>
                <w:szCs w:val="20"/>
              </w:rPr>
              <w:t>posting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11" w:type="dxa"/>
              <w:left w:w="111" w:type="dxa"/>
              <w:bottom w:w="111" w:type="dxa"/>
              <w:right w:w="111" w:type="dxa"/>
            </w:tcMar>
          </w:tcPr>
          <w:p w:rsidR="00970DD9" w:rsidRPr="00970DD9" w:rsidRDefault="00970DD9" w:rsidP="00970DD9">
            <w:pPr>
              <w:spacing w:line="260" w:lineRule="atLeast"/>
              <w:rPr>
                <w:rFonts w:ascii="Times" w:hAnsi="Times"/>
                <w:color w:val="333333"/>
                <w:sz w:val="20"/>
                <w:szCs w:val="20"/>
              </w:rPr>
            </w:pPr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An optional property for storing additional information you would like 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Citysearch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to log for this view. For ex ample, if you run a search engine marketing campaign for Google and Yahoo</w:t>
            </w:r>
            <w:proofErr w:type="gram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!,</w:t>
            </w:r>
            <w:proofErr w:type="gram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you can set the placement property to "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sem_google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" or "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sem_yahoo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". Alternatively, if you publish 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Citysearch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listings in different locations in your own site, you can set the placement property to values such as "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home_page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" or "search" (all up to you). </w:t>
            </w:r>
            <w:proofErr w:type="spellStart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>Citysearch</w:t>
            </w:r>
            <w:proofErr w:type="spellEnd"/>
            <w:r w:rsidRPr="00970DD9">
              <w:rPr>
                <w:rFonts w:ascii="Times" w:hAnsi="Times"/>
                <w:color w:val="333333"/>
                <w:sz w:val="20"/>
                <w:szCs w:val="20"/>
              </w:rPr>
              <w:t xml:space="preserve"> will organize reports for you by placement. (Optional)</w:t>
            </w:r>
          </w:p>
        </w:tc>
      </w:tr>
    </w:tbl>
    <w:p w:rsidR="00F92BAF" w:rsidRDefault="00970DD9"/>
    <w:sectPr w:rsidR="00F92BAF" w:rsidSect="00F92B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0DD9"/>
    <w:rsid w:val="00970DD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970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RockOne Innovations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Stone</dc:creator>
  <cp:keywords/>
  <cp:lastModifiedBy>Allan Stone</cp:lastModifiedBy>
  <cp:revision>1</cp:revision>
  <dcterms:created xsi:type="dcterms:W3CDTF">2010-11-15T21:03:00Z</dcterms:created>
  <dcterms:modified xsi:type="dcterms:W3CDTF">2010-11-15T21:05:00Z</dcterms:modified>
</cp:coreProperties>
</file>