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sz w:val="24"/>
          <w:szCs w:val="24"/>
          <w:rtl w:val="0"/>
        </w:rPr>
        <w:t xml:space="preserve">Monthly Vessel Operational Summary: Genie Lab - December 2025</w:t>
      </w:r>
      <w:r w:rsidDel="00000000" w:rsidR="00000000" w:rsidRPr="00000000">
        <w:rPr>
          <w:rtl w:val="0"/>
        </w:rPr>
        <w:br w:type="textWrapping"/>
        <w:t xml:space="preserve">Report Period: 01 December 2025 - 31 December 2025</w:t>
        <w:br w:type="textWrapping"/>
        <w:t xml:space="preserve">Presented To: Murphy Oil Corporation</w:t>
        <w:br w:type="textWrapping"/>
        <w:t xml:space="preserve">Prepared By: Gekko</w:t>
      </w:r>
    </w:p>
    <w:p w:rsidR="00000000" w:rsidDel="00000000" w:rsidP="00000000" w:rsidRDefault="00000000" w:rsidRPr="00000000" w14:paraId="00000002">
      <w:pPr>
        <w:numPr>
          <w:ilvl w:val="0"/>
          <w:numId w:val="2"/>
        </w:numPr>
        <w:spacing w:after="0" w:afterAutospacing="0" w:before="240" w:lineRule="auto"/>
        <w:ind w:left="0" w:hanging="360"/>
        <w:rPr/>
      </w:pPr>
      <w:r w:rsidDel="00000000" w:rsidR="00000000" w:rsidRPr="00000000">
        <w:rPr>
          <w:b w:val="1"/>
          <w:bCs w:val="1"/>
          <w:rtl w:val="0"/>
        </w:rPr>
        <w:t xml:space="preserve">High-Level Vessel Utilisation</w:t>
      </w:r>
      <w:r w:rsidDel="00000000" w:rsidR="00000000" w:rsidRPr="00000000">
        <w:rPr>
          <w:rtl w:val="0"/>
        </w:rPr>
        <w:br w:type="textWrapping"/>
        <w:t xml:space="preserve">During December 2025, the Genie Lab spent most of its operational time in port, accounting for 16.0 days. The vessel operated offshore at a platform/rig for 8.8 days, while stationary periods (standby offshore) comprised 2.2 days. Transit operations accounted for the remaining 4.0 days of the month.</w:t>
        <w:br w:type="textWrapping"/>
        <w:t xml:space="preserve"> </w:t>
      </w:r>
    </w:p>
    <w:p w:rsidR="00000000" w:rsidDel="00000000" w:rsidP="00000000" w:rsidRDefault="00000000" w:rsidRPr="00000000" w14:paraId="00000003">
      <w:pPr>
        <w:numPr>
          <w:ilvl w:val="0"/>
          <w:numId w:val="2"/>
        </w:numPr>
        <w:spacing w:after="0" w:afterAutospacing="0" w:before="0" w:beforeAutospacing="0" w:lineRule="auto"/>
        <w:ind w:left="0" w:hanging="360"/>
        <w:rPr/>
      </w:pPr>
      <w:r w:rsidDel="00000000" w:rsidR="00000000" w:rsidRPr="00000000">
        <w:rPr>
          <w:b w:val="1"/>
          <w:bCs w:val="1"/>
          <w:rtl w:val="0"/>
        </w:rPr>
        <w:t xml:space="preserve">Offshore Platform, Port, and Dock Utilisation</w:t>
        <w:br w:type="textWrapping"/>
      </w:r>
      <w:r w:rsidDel="00000000" w:rsidR="00000000" w:rsidRPr="00000000">
        <w:rPr>
          <w:rtl w:val="0"/>
        </w:rPr>
        <w:t xml:space="preserve">The vessel operated primarily at the Noble Stanley Lafosse. Crane operations were conducted at Noble Stanley Lafosse Crane. The vessel spent most of its port time at Fourchon Shorebase, followed by Baroid / Stone Fuel and Northern Expansion. Primary docks used included 350 I, 350H – Murphy Shorebase, and 317 – Stone Fuel.</w:t>
        <w:br w:type="textWrapping"/>
        <w:t xml:space="preserve"> </w:t>
      </w:r>
    </w:p>
    <w:p w:rsidR="00000000" w:rsidDel="00000000" w:rsidP="00000000" w:rsidRDefault="00000000" w:rsidRPr="00000000" w14:paraId="00000004">
      <w:pPr>
        <w:numPr>
          <w:ilvl w:val="0"/>
          <w:numId w:val="2"/>
        </w:numPr>
        <w:spacing w:after="240" w:before="0" w:beforeAutospacing="0" w:lineRule="auto"/>
        <w:ind w:left="0" w:hanging="360"/>
        <w:rPr/>
      </w:pPr>
      <w:r w:rsidDel="00000000" w:rsidR="00000000" w:rsidRPr="00000000">
        <w:rPr>
          <w:b w:val="1"/>
          <w:bCs w:val="1"/>
          <w:rtl w:val="0"/>
        </w:rPr>
        <w:t xml:space="preserve">Voyage Performance Analysis</w:t>
      </w:r>
      <w:r w:rsidDel="00000000" w:rsidR="00000000" w:rsidRPr="00000000">
        <w:rPr>
          <w:rtl w:val="0"/>
        </w:rPr>
        <w:br w:type="textWrapping"/>
        <w:br w:type="textWrapping"/>
        <w:t xml:space="preserve">The vessel completed 9 trips during December 2025. Trip 9 (31 December 2025 – 01 January 2026) from Jetties to Noble Stanley Lafosse was the shortest journey at 66.96 km with a duration of 3.42 hours. Trip 3 (07 December 2025 – 08 December 2025) from Jetties to Noble Stanley Lafosse was the longest journey covering 205.17 km with a duration of 12.63 hours. All voyages consisted of multiple trips.</w:t>
        <w:br w:type="textWrapping"/>
        <w:br w:type="textWrapping"/>
        <w:t xml:space="preserve">Crane operations experienced varying wait times, with the longest recorded wait time of 37.32 hours for Trip 1 and the shortest wait time of 0.9 hours for Trip 7. The average wait time was approximately 1.2 hours. Wait time is defined as the time spent waiting after arriving from port before crane operations begin.</w:t>
      </w:r>
    </w:p>
    <w:p w:rsidR="00000000" w:rsidDel="00000000" w:rsidP="00000000" w:rsidRDefault="00000000" w:rsidRPr="00000000" w14:paraId="00000005">
      <w:pPr>
        <w:spacing w:after="240" w:before="240" w:lineRule="auto"/>
        <w:rPr/>
      </w:pPr>
      <w:r w:rsidDel="00000000" w:rsidR="00000000" w:rsidRPr="00000000">
        <w:rPr>
          <w:rtl w:val="0"/>
        </w:rPr>
        <w:t xml:space="preserve">The vessel achieved its fastest average speed of 10.83 knots during Trip 4, while Trip 1 recorded the slowest average speed at 6.49 knots. The overall average transit speed was 9.6 knots, which corresponds to the 3/4 speed economy speed range (8.5 – 10.05 knots), representing optimal fuel efficiency for transit operations.</w:t>
      </w:r>
    </w:p>
    <w:p w:rsidR="00000000" w:rsidDel="00000000" w:rsidP="00000000" w:rsidRDefault="00000000" w:rsidRPr="00000000" w14:paraId="00000006">
      <w:pPr>
        <w:numPr>
          <w:ilvl w:val="0"/>
          <w:numId w:val="1"/>
        </w:numPr>
        <w:spacing w:after="240" w:before="240" w:lineRule="auto"/>
        <w:ind w:left="0" w:hanging="360"/>
        <w:rPr/>
      </w:pPr>
      <w:r w:rsidDel="00000000" w:rsidR="00000000" w:rsidRPr="00000000">
        <w:rPr>
          <w:b w:val="1"/>
          <w:bCs w:val="1"/>
          <w:rtl w:val="0"/>
        </w:rPr>
        <w:t xml:space="preserve">Fuel, Carbon Usage and Statewise Consumption</w:t>
      </w:r>
      <w:r w:rsidDel="00000000" w:rsidR="00000000" w:rsidRPr="00000000">
        <w:rPr>
          <w:rtl w:val="0"/>
        </w:rPr>
        <w:br w:type="textWrapping"/>
        <w:t xml:space="preserve">The vessel consumed a total of 21,873 gallons of fuel during December 2025, averaging 706 gallons per day, with a total fuel cost of $55,105.0 at $2.52 per gallon. This consumption resulted in total CO₂ emissions of 230 tonnes, with a daily average emission rate of 7 tonnes.</w:t>
        <w:br w:type="textWrapping"/>
        <w:t xml:space="preserve">The actual fuel consumption was distributed as follows:</w:t>
      </w:r>
    </w:p>
    <w:p w:rsidR="00000000" w:rsidDel="00000000" w:rsidP="00000000" w:rsidRDefault="00000000" w:rsidRPr="00000000" w14:paraId="00000007">
      <w:pPr>
        <w:rPr/>
      </w:pPr>
      <w:r w:rsidDel="00000000" w:rsidR="00000000" w:rsidRPr="00000000">
        <w:rPr>
          <w:rtl w:val="0"/>
        </w:rPr>
        <w:t xml:space="preserve">Transit operations: 10,831 gallons (50%)</w:t>
      </w:r>
    </w:p>
    <w:p w:rsidR="00000000" w:rsidDel="00000000" w:rsidP="00000000" w:rsidRDefault="00000000" w:rsidRPr="00000000" w14:paraId="00000008">
      <w:pPr>
        <w:rPr/>
      </w:pPr>
      <w:r w:rsidDel="00000000" w:rsidR="00000000" w:rsidRPr="00000000">
        <w:rPr>
          <w:rtl w:val="0"/>
        </w:rPr>
        <w:t xml:space="preserve">Project point operations: 5,969 gallons (27%)</w:t>
      </w:r>
    </w:p>
    <w:p w:rsidR="00000000" w:rsidDel="00000000" w:rsidP="00000000" w:rsidRDefault="00000000" w:rsidRPr="00000000" w14:paraId="00000009">
      <w:pPr>
        <w:rPr/>
      </w:pPr>
      <w:r w:rsidDel="00000000" w:rsidR="00000000" w:rsidRPr="00000000">
        <w:rPr>
          <w:rtl w:val="0"/>
        </w:rPr>
        <w:t xml:space="preserve">In-port operations: 3,643 gallons (17%)</w:t>
      </w:r>
    </w:p>
    <w:p w:rsidR="00000000" w:rsidDel="00000000" w:rsidP="00000000" w:rsidRDefault="00000000" w:rsidRPr="00000000" w14:paraId="0000000A">
      <w:pPr>
        <w:rPr/>
      </w:pPr>
      <w:r w:rsidDel="00000000" w:rsidR="00000000" w:rsidRPr="00000000">
        <w:rPr>
          <w:rtl w:val="0"/>
        </w:rPr>
        <w:t xml:space="preserve">Stationary operations: 1,431 gallons (7%)</w:t>
      </w:r>
    </w:p>
    <w:p w:rsidR="00000000" w:rsidDel="00000000" w:rsidP="00000000" w:rsidRDefault="00000000" w:rsidRPr="00000000" w14:paraId="0000000B">
      <w:pPr>
        <w:numPr>
          <w:ilvl w:val="0"/>
          <w:numId w:val="3"/>
        </w:numPr>
        <w:spacing w:after="0" w:afterAutospacing="0" w:before="240" w:lineRule="auto"/>
        <w:ind w:left="0" w:hanging="360"/>
        <w:rPr/>
      </w:pPr>
      <w:r w:rsidDel="00000000" w:rsidR="00000000" w:rsidRPr="00000000">
        <w:rPr>
          <w:b w:val="1"/>
          <w:bCs w:val="1"/>
          <w:rtl w:val="0"/>
        </w:rPr>
        <w:t xml:space="preserve">Fuel Savings Achieved</w:t>
        <w:br w:type="textWrapping"/>
      </w:r>
      <w:r w:rsidDel="00000000" w:rsidR="00000000" w:rsidRPr="00000000">
        <w:rPr>
          <w:rtl w:val="0"/>
        </w:rPr>
        <w:t xml:space="preserve">Compared to full speed operation at 10.5 knots, the vessel achieved significant fuel savings totaling 2,573.23 gallons, resulting in total cost savings of $6,252.95. When compared to 3/4 speed operation at 9.0 knots, the vessel saved 803.85 gallons in total, with cost savings amounting to $1,953.36.</w:t>
        <w:br w:type="textWrapping"/>
      </w:r>
    </w:p>
    <w:p w:rsidR="00000000" w:rsidDel="00000000" w:rsidP="00000000" w:rsidRDefault="00000000" w:rsidRPr="00000000" w14:paraId="0000000C">
      <w:pPr>
        <w:numPr>
          <w:ilvl w:val="0"/>
          <w:numId w:val="3"/>
        </w:numPr>
        <w:spacing w:after="240" w:before="0" w:beforeAutospacing="0" w:lineRule="auto"/>
        <w:ind w:left="0" w:hanging="360"/>
        <w:rPr/>
      </w:pPr>
      <w:r w:rsidDel="00000000" w:rsidR="00000000" w:rsidRPr="00000000">
        <w:rPr>
          <w:b w:val="1"/>
          <w:bCs w:val="1"/>
          <w:rtl w:val="0"/>
        </w:rPr>
        <w:t xml:space="preserve">Actual vs. Predicted Fuel Variance Analysis</w:t>
        <w:br w:type="textWrapping"/>
      </w:r>
      <w:r w:rsidDel="00000000" w:rsidR="00000000" w:rsidRPr="00000000">
        <w:rPr>
          <w:rtl w:val="0"/>
        </w:rPr>
        <w:t xml:space="preserve">The vessel's actual fuel consumption differed from predictions across operational states, resulting in a total variance of -1,545 gallons for In transit operations where actual was lower than predicted. The most significant variance occurred in In transit operations, while In Port operations showed a variance where actual was higher than predicted. Project Point operations also showed variances where actual consumption was higher than predicted. Stationary operations showed variances where actual consumption was lower than predicted.</w:t>
      </w:r>
    </w:p>
    <w:p w:rsidR="00000000" w:rsidDel="00000000" w:rsidP="00000000" w:rsidRDefault="00000000" w:rsidRPr="00000000" w14:paraId="0000000D">
      <w:pPr>
        <w:spacing w:after="240" w:before="240" w:lineRule="auto"/>
        <w:rPr/>
      </w:pPr>
      <w:r w:rsidDel="00000000" w:rsidR="00000000" w:rsidRPr="00000000">
        <w:rPr>
          <w:rtl w:val="0"/>
        </w:rPr>
        <w:t xml:space="preserve">The analysis indicates that the prediction model's constants were higher than actual consumption rates for most operational states, while In transit operations showed the most significant variance. The interpolation curve used for transit predictions overestimated real-world fuel consumption at achieved speeds.</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Based on actual consumption data and operational hours:</w:t>
      </w:r>
    </w:p>
    <w:p w:rsidR="00000000" w:rsidDel="00000000" w:rsidP="00000000" w:rsidRDefault="00000000" w:rsidRPr="00000000" w14:paraId="0000000F">
      <w:pPr>
        <w:rPr/>
      </w:pPr>
      <w:r w:rsidDel="00000000" w:rsidR="00000000" w:rsidRPr="00000000">
        <w:rPr>
          <w:rtl w:val="0"/>
        </w:rPr>
        <w:t xml:space="preserve">In Port: Actual consumption exceeded the 10.28 GPH generator rate</w:t>
      </w:r>
    </w:p>
    <w:p w:rsidR="00000000" w:rsidDel="00000000" w:rsidP="00000000" w:rsidRDefault="00000000" w:rsidRPr="00000000" w14:paraId="00000010">
      <w:pPr>
        <w:rPr/>
      </w:pPr>
      <w:r w:rsidDel="00000000" w:rsidR="00000000" w:rsidRPr="00000000">
        <w:rPr>
          <w:rtl w:val="0"/>
        </w:rPr>
        <w:t xml:space="preserve">In Transit: Actual consumption patterns differed from interpolation curve predictions</w:t>
      </w:r>
    </w:p>
    <w:p w:rsidR="00000000" w:rsidDel="00000000" w:rsidP="00000000" w:rsidRDefault="00000000" w:rsidRPr="00000000" w14:paraId="00000011">
      <w:pPr>
        <w:rPr/>
      </w:pPr>
      <w:r w:rsidDel="00000000" w:rsidR="00000000" w:rsidRPr="00000000">
        <w:rPr>
          <w:rtl w:val="0"/>
        </w:rPr>
        <w:t xml:space="preserve">Project Point: Actual consumption fell below the 33.03 GPH DP alongside rate</w:t>
      </w:r>
    </w:p>
    <w:p w:rsidR="00000000" w:rsidDel="00000000" w:rsidP="00000000" w:rsidRDefault="00000000" w:rsidRPr="00000000" w14:paraId="00000012">
      <w:pPr>
        <w:rPr/>
      </w:pPr>
      <w:r w:rsidDel="00000000" w:rsidR="00000000" w:rsidRPr="00000000">
        <w:rPr>
          <w:rtl w:val="0"/>
        </w:rPr>
        <w:t xml:space="preserve">Stationary: Actual consumption fell below the 22.61 GPH standing by rate</w:t>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Speed to Fuel Consumption Interpolation Curve:</w:t>
      </w:r>
    </w:p>
    <w:p w:rsidR="00000000" w:rsidDel="00000000" w:rsidP="00000000" w:rsidRDefault="00000000" w:rsidRPr="00000000" w14:paraId="00000014">
      <w:pPr>
        <w:rPr/>
      </w:pPr>
      <w:r w:rsidDel="00000000" w:rsidR="00000000" w:rsidRPr="00000000">
        <w:rPr/>
        <w:drawing>
          <wp:inline distB="114300" distT="114300" distL="114300" distR="114300">
            <wp:extent cx="5943600" cy="3175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175000"/>
                    </a:xfrm>
                    <a:prstGeom prst="rect"/>
                    <a:ln/>
                  </pic:spPr>
                </pic:pic>
              </a:graphicData>
            </a:graphic>
          </wp:inline>
        </w:drawing>
      </w:r>
      <w:r w:rsidDel="00000000" w:rsidR="00000000" w:rsidRPr="00000000">
        <w:rPr>
          <w:rtl w:val="0"/>
        </w:rPr>
      </w:r>
    </w:p>
    <w:sectPr>
      <w:pgSz w:h="15840" w:w="12240" w:orient="portrait"/>
      <w:pgMar w:bottom="1440" w:top="72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4"/>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5"/>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