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STOCK PULSE — Research Supplement v2.2</w:t>
      </w:r>
    </w:p>
    <w:p>
      <w:pPr>
        <w:spacing w:after="100"/>
        <w:jc w:val="center"/>
      </w:pPr>
      <w:r>
        <w:rPr>
          <w:rFonts w:ascii="Arial" w:cs="Arial" w:eastAsia="Arial" w:hAnsi="Arial"/>
          <w:color w:val="2E6B9E"/>
          <w:sz w:val="26"/>
          <w:szCs w:val="26"/>
        </w:rPr>
        <w:t xml:space="preserve">New Findings from Kimi Research Documents 1–3</w:t>
      </w:r>
    </w:p>
    <w:p>
      <w:pPr>
        <w:pBdr>
          <w:bottom w:val="single" w:color="2E6B9E" w:sz="4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Contains: Microstructure Formulas, Indian Market Specifics, SEBI Compliance, Execution Models</w:t>
      </w:r>
    </w:p>
    <w:p>
      <w:pPr>
        <w:spacing w:after="80"/>
      </w:pPr>
    </w:p>
    <w:p>
      <w:pPr>
        <w:pStyle w:val="Heading1"/>
      </w:pPr>
      <w:r>
        <w:t xml:space="preserve">A. Hawkes Processes for Order Flow Modeling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(Advanced Alpha — Microstructure) — NEW MATHEMATICAL DETAIL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Market events (orders, cancellations, trades) cluster in time. Hawkes Processes are the industry standard for modeling this self-exciting behavior.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Intensity Function: </w:t>
      </w:r>
      <w:r>
        <w:rPr>
          <w:rFonts w:ascii="Arial" w:cs="Arial" w:eastAsia="Arial" w:hAnsi="Arial"/>
          <w:sz w:val="22"/>
          <w:szCs w:val="22"/>
        </w:rPr>
        <w:t xml:space="preserve">lambda_i(t) = mu_i + Σ_j ∫ phi_ij(t-s) dN_j(s)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mu_i = base intensity (background arrival rate)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phi_ij = kernel function (excitation from process j to 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N_j = counting process for events of type j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Kernels: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Exponential: phi(t) = α · β · exp(-βt) — fast decay, tractable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Power Law: phi(t) = α / (t + c)^β — heavier tails, more realistic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Sum of Exponentials: phi(t) = Σ_k α_kβ_k exp(-β_k t) — multi-scale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Model order arrival clustering for Indian stocks. Detect when order flow becomes self-exciting (cascade events). Use as real-time volatility/crash early-warning.</w:t>
      </w:r>
    </w:p>
    <w:p>
      <w:r>
        <w:br w:type="page"/>
      </w:r>
    </w:p>
    <w:p>
      <w:pPr>
        <w:pStyle w:val="Heading1"/>
      </w:pPr>
      <w:r>
        <w:t xml:space="preserve">B. Order Flow Imbalance (OFI) — Predictive Signal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or Section 20 (Indicators) — NEW INDICATOR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OFI is derived from changes in best bid/ask sizes. When OFI ≈ 1, mid-price is highly likely to jump upward.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OFI Formula: </w:t>
      </w:r>
      <w:r>
        <w:rPr>
          <w:rFonts w:ascii="Arial" w:cs="Arial" w:eastAsia="Arial" w:hAnsi="Arial"/>
          <w:sz w:val="22"/>
          <w:szCs w:val="22"/>
        </w:rPr>
        <w:t xml:space="preserve">OFI(T,h) = (ΔN^s - ΔN^b) / (ΔN^s + ΔN^b)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ΔN^s = sell market orders in window 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ΔN^b = buy market orders in window h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Generalized OFI (GOFI): </w:t>
      </w:r>
      <w:r>
        <w:rPr>
          <w:rFonts w:ascii="Arial" w:cs="Arial" w:eastAsia="Arial" w:hAnsi="Arial"/>
          <w:sz w:val="22"/>
          <w:szCs w:val="22"/>
        </w:rPr>
        <w:t xml:space="preserve">Extends to multi-tick quote movements across multiple order book levels. More robust signal than single-level OFI.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Compute OFI for liquid NSE stocks as a real-time directional signal. Combine with technical indicators for enhanced short-term prediction.</w:t>
      </w:r>
    </w:p>
    <w:p>
      <w:r>
        <w:br w:type="page"/>
      </w:r>
    </w:p>
    <w:p>
      <w:pPr>
        <w:pStyle w:val="Heading1"/>
      </w:pPr>
      <w:r>
        <w:t xml:space="preserve">C. Almgren-Chriss Optimal Execution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10 (Trading Strategies) or Section 22 (Architecture — Execution) — NEW MATHEMATICAL FRAMEWORK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foundational model for slicing large orders to minimize market impact. Splits impact into permanent (lasting) and temporary (dissipates) components.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Impact Decomposition: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Permanent Impact = γ · v (linear in trading rate)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Temporary Impact = η · v^α (power law in trading rate)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Mean-Variance Objective: </w:t>
      </w:r>
      <w:r>
        <w:rPr>
          <w:rFonts w:ascii="Arial" w:cs="Arial" w:eastAsia="Arial" w:hAnsi="Arial"/>
          <w:sz w:val="22"/>
          <w:szCs w:val="22"/>
        </w:rPr>
        <w:t xml:space="preserve">J(v) = E[C] + λ · Var(C), where λ = risk aversion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Trading Trajectory: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X_t* = x_0 · sinh[κ(T-t)] / sinh(κT)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v_t* = x_0 · κ · cosh[κ(T-t)] / sinh(κT)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Where κ² = λσ²/η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 Enhancement: </w:t>
      </w:r>
      <w:r>
        <w:rPr>
          <w:rFonts w:ascii="Arial" w:cs="Arial" w:eastAsia="Arial" w:hAnsi="Arial"/>
          <w:sz w:val="22"/>
          <w:szCs w:val="22"/>
        </w:rPr>
        <w:t xml:space="preserve">DQN/PPO agents learn adaptive execution schedules from real-time slippage. Studies show up to 10% reduction in implementation shortfall vs Almgren-Chriss static trajectory.</w:t>
      </w:r>
    </w:p>
    <w:p>
      <w:r>
        <w:br w:type="page"/>
      </w:r>
    </w:p>
    <w:p>
      <w:pPr>
        <w:pStyle w:val="Heading1"/>
      </w:pPr>
      <w:r>
        <w:t xml:space="preserve">D. Avellaneda-Stoikov Market Making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10 (Trading Strategies) — ENTIRELY NEW STRATEGY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Theoretical foundation for optimal market making. Derives optimal bid/ask quotes by maximizing expected utility from inventory holding.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 Price: </w:t>
      </w:r>
      <w:r>
        <w:rPr>
          <w:rFonts w:ascii="Arial" w:cs="Arial" w:eastAsia="Arial" w:hAnsi="Arial"/>
          <w:sz w:val="22"/>
          <w:szCs w:val="22"/>
        </w:rPr>
        <w:t xml:space="preserve">r(t) = s(t) - q · γ · σ² · (T - 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s(t) = current mid-price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 = current inventory (positive=long, negative=short)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γ = risk aversion; σ² = variance; T-t = time remaining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If long (q&gt;0): price pushed DOWN to encourage selling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If short (q&lt;0): price pushed UP to encourage buying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Half-Spread: </w:t>
      </w:r>
      <w:r>
        <w:rPr>
          <w:rFonts w:ascii="Arial" w:cs="Arial" w:eastAsia="Arial" w:hAnsi="Arial"/>
          <w:sz w:val="22"/>
          <w:szCs w:val="22"/>
        </w:rPr>
        <w:t xml:space="preserve">δ = (1/γ) · ln(1 + γ/κ) + (1/2) · γσ²(T-t)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Bid = r - δ; Ask = r + δ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Arrival: </w:t>
      </w:r>
      <w:r>
        <w:rPr>
          <w:rFonts w:ascii="Arial" w:cs="Arial" w:eastAsia="Arial" w:hAnsi="Arial"/>
          <w:sz w:val="22"/>
          <w:szCs w:val="22"/>
        </w:rPr>
        <w:t xml:space="preserve">λ(δ) = A · exp(-κδ), where A = baseline intensity, κ = liquidity parameter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While StockPulse isn't a market maker, this model informs understanding of bid-ask dynamics and optimal entry/exit timing relative to spread.</w:t>
      </w:r>
    </w:p>
    <w:p>
      <w:r>
        <w:br w:type="page"/>
      </w:r>
    </w:p>
    <w:p>
      <w:pPr>
        <w:pStyle w:val="Heading1"/>
      </w:pPr>
      <w:r>
        <w:t xml:space="preserve">E. Additional Microstructure Metrics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13 (Risk Management) or Section 20 (Indicators) — NEW METRICS</w:t>
      </w:r>
    </w:p>
    <w:p>
      <w:pPr>
        <w:spacing w:after="80"/>
      </w:pPr>
    </w:p>
    <w:p>
      <w:pPr>
        <w:pStyle w:val="Heading2"/>
      </w:pPr>
      <w:r>
        <w:t xml:space="preserve">E.1 Kyle's Lambda (Price Impact Coefficient)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λ = σ_v / (2 · σ_ε)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σ_v = std dev of private information (asset value)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σ_ε = std dev of noise trader volume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Price impact: P = P_0 + λ · v (v = order volume)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Higher λ = more price impact per unit of flow = less liquid</w:t>
      </w:r>
    </w:p>
    <w:p>
      <w:pPr>
        <w:spacing w:after="80"/>
      </w:pPr>
    </w:p>
    <w:p>
      <w:pPr>
        <w:pStyle w:val="Heading2"/>
      </w:pPr>
      <w:r>
        <w:t xml:space="preserve">E.2 Amihud Illiquidity Ratio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ILLIQ_t = |R_t| / VOLD_t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|R_t| = absolute return on day 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VOLD_t = dollar trading volume on day 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High ILLIQ = low liquidity (high impact per rupee traded)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Spikes in ILLIQ signal potential liquidity crises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Compute daily Amihud ratio and Kyle's Lambda for all NSE stocks. Use as liquidity risk input in composite risk score. Flag stocks where ILLIQ is spiking as high-risk.</w:t>
      </w:r>
    </w:p>
    <w:p>
      <w:r>
        <w:br w:type="page"/>
      </w:r>
    </w:p>
    <w:p>
      <w:pPr>
        <w:pStyle w:val="Heading1"/>
      </w:pPr>
      <w:r>
        <w:t xml:space="preserve">F. Backtested Strategy Performance Benchmarks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10 (Trading Strategies) — ENHANCE WITH SPECIFIC NUMBERS</w:t>
      </w:r>
    </w:p>
    <w:p>
      <w:pPr>
        <w:spacing w:after="80"/>
      </w:pPr>
    </w:p>
    <w:p>
      <w:pPr>
        <w:pStyle w:val="Heading2"/>
      </w:pPr>
      <w:r>
        <w:t xml:space="preserve">F.1 12-Month Momentum Strategy (Backtested)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(S&amp;P 500)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Return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969.40%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218.32%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Annualized Return (CAGR)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26.99%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12.39%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Drawdown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-20.66%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-23.97%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Lookback: 12 months, skip most recent month (reversal effect)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Portfolio: Top 20% by momentum score, monthly rebalance, equal-weighted</w:t>
      </w:r>
    </w:p>
    <w:p>
      <w:pPr>
        <w:spacing w:after="80"/>
      </w:pPr>
    </w:p>
    <w:p>
      <w:pPr>
        <w:pStyle w:val="Heading2"/>
      </w:pPr>
      <w:r>
        <w:t xml:space="preserve">F.2 Indian Market Momentum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Indian momentum strategies show annualized returns of 26.99% vs 12.39% benchmark with Sharpe 1.25 vs 0.67 — nearly double the risk-adjusted efficiency.</w:t>
      </w:r>
    </w:p>
    <w:p>
      <w:pPr>
        <w:spacing w:after="80"/>
      </w:pPr>
    </w:p>
    <w:p>
      <w:pPr>
        <w:pStyle w:val="Heading2"/>
      </w:pPr>
      <w:r>
        <w:t xml:space="preserve">F.3 ML Model Accuracy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R-squared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0.954 – 0.987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R-squared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99.47%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15.98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ANNs (directional)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 across NYSE 100, FTSE 100, DAX 30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Ensemble (PPO+A2C+DDPG)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returns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 vs individual agents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Medallion Fund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50.75% (at 150K-300K trades/day)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 from Renaissance: </w:t>
      </w:r>
      <w:r>
        <w:rPr>
          <w:rFonts w:ascii="Arial" w:cs="Arial" w:eastAsia="Arial" w:hAnsi="Arial"/>
          <w:sz w:val="22"/>
          <w:szCs w:val="22"/>
        </w:rPr>
        <w:t xml:space="preserve">50.75% win rate — barely better than random — but executed at massive scale (150,000-300,000 trades/day). Small edges compound into 66.1% gross annual returns.</w:t>
      </w:r>
    </w:p>
    <w:p>
      <w:r>
        <w:br w:type="page"/>
      </w:r>
    </w:p>
    <w:p>
      <w:pPr>
        <w:pStyle w:val="Heading1"/>
      </w:pPr>
      <w:r>
        <w:t xml:space="preserve">G. SEBI Regulatory Compliance for Algorithmic Trading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19 (Indian Market) — CRITICAL NEW SECTION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Algorithmic trading in India is governed by SEBI's comprehensive framework. Compliance is mandatory; violations result in severe penalties.</w:t>
      </w:r>
    </w:p>
    <w:p>
      <w:pPr>
        <w:spacing w:after="80"/>
      </w:pPr>
    </w:p>
    <w:p>
      <w:pPr>
        <w:pStyle w:val="Heading2"/>
      </w:pPr>
      <w:r>
        <w:t xml:space="preserve">G.1 Registration Thresholds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Registration required if &gt;10 orders/second per exchange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algo orders must carry unique exchange-issued identifier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Brokers must monitor order rates and enforce limits</w:t>
      </w:r>
    </w:p>
    <w:p>
      <w:pPr>
        <w:spacing w:after="80"/>
      </w:pPr>
    </w:p>
    <w:p>
      <w:pPr>
        <w:pStyle w:val="Heading2"/>
      </w:pPr>
      <w:r>
        <w:t xml:space="preserve">G.2 Algorithm Classification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 Box Algos: </w:t>
      </w:r>
      <w:r>
        <w:rPr>
          <w:rFonts w:ascii="Arial" w:cs="Arial" w:eastAsia="Arial" w:hAnsi="Arial"/>
          <w:sz w:val="22"/>
          <w:szCs w:val="22"/>
        </w:rPr>
        <w:t xml:space="preserve">Logic disclosed and replicable (execution algos). Simpler compliance.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 Box Algos: </w:t>
      </w:r>
      <w:r>
        <w:rPr>
          <w:rFonts w:ascii="Arial" w:cs="Arial" w:eastAsia="Arial" w:hAnsi="Arial"/>
          <w:sz w:val="22"/>
          <w:szCs w:val="22"/>
        </w:rPr>
        <w:t xml:space="preserve">Logic not disclosed — provider MUST be SEBI-registered Research Analyst. Must maintain detailed research reports.</w:t>
      </w:r>
    </w:p>
    <w:p>
      <w:pPr>
        <w:spacing w:after="80"/>
      </w:pPr>
    </w:p>
    <w:p>
      <w:pPr>
        <w:pStyle w:val="Heading2"/>
      </w:pPr>
      <w:r>
        <w:t xml:space="preserve">G.3 Security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Static IP whitelisting mandatory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Client-specific and vendor-specific API keys required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Two-factor authentication (2FA) mandatory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Limits on IP changes and infrastructure sharing</w:t>
      </w:r>
    </w:p>
    <w:p>
      <w:pPr>
        <w:spacing w:after="80"/>
      </w:pPr>
    </w:p>
    <w:p>
      <w:pPr>
        <w:pStyle w:val="Heading2"/>
      </w:pPr>
      <w:r>
        <w:t xml:space="preserve">G.4 Broker Responsibilities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Strategy approval and registration with exchange BEFORE live trading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Real-time monitoring of algorithm behavior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Emergency kill switch implementation mandatory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Broker is principal responsible entity for algo trades</w:t>
      </w:r>
    </w:p>
    <w:p>
      <w:pPr>
        <w:spacing w:after="80"/>
      </w:pPr>
    </w:p>
    <w:p>
      <w:pPr>
        <w:pStyle w:val="Heading2"/>
      </w:pPr>
      <w:r>
        <w:t xml:space="preserve">G.5 StockPulse Compliance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Register algorithms with broker if exceeding 10 orders/sec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Include proper algo identification tags on all orders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Maintain full audit trail of all algorithmic decisions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Implement kill switch for emergency shutdown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 only empanelled vendors for third-party algorithms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If providing recommendations: evaluate if SEBI Research Analyst registration needed</w:t>
      </w:r>
    </w:p>
    <w:p>
      <w:r>
        <w:br w:type="page"/>
      </w:r>
    </w:p>
    <w:p>
      <w:pPr>
        <w:pStyle w:val="Heading1"/>
      </w:pPr>
      <w:r>
        <w:t xml:space="preserve">H. Indian Data Vendor Specifics — Enhanced Details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19 (Indian Market APIs) — ENHANCE EXISTING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Datafeeds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NSE/BSE/MCX vendor since 2010; 7+ crore requests/day; 99.995% uptime; WebSocket/REST/FIX; Option Greeks API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(contact vendor)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Data &amp; Analytics (Official)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feeds at 1/2/5-min intervals; Capital Market + F&amp;O + Currency + Debt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4,00,000 – 15,00,000/year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Shoonya by Finvasia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brokerage model; API access; cost-effective for algo trading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(zero brokerage)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Kite Connect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retail broker API; extensive docs; WebSocket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2,000/month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One SmartAPI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Developer-friendly; growing ecosystem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with account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H.1 Latency Considerations for Indian Market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Co-location: Deploy near NSE/BSE data centers in Mumbai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Kernel bypass networking (DPDK) for microsecond latency if needed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Target: &lt;100ms end-to-end order latency for 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Async non-blocking I/O architecture throughout</w:t>
      </w:r>
    </w:p>
    <w:p>
      <w:r>
        <w:br w:type="page"/>
      </w:r>
    </w:p>
    <w:p>
      <w:pPr>
        <w:pStyle w:val="Heading1"/>
      </w:pPr>
      <w:r>
        <w:t xml:space="preserve">I. Additional Mathematical Formulas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9 (Quant Finance) and Section 21 (Evaluation Metrics) — NEW FORMULAS</w:t>
      </w:r>
    </w:p>
    <w:p>
      <w:pPr>
        <w:spacing w:after="80"/>
      </w:pPr>
    </w:p>
    <w:p>
      <w:pPr>
        <w:pStyle w:val="Heading2"/>
      </w:pPr>
      <w:r>
        <w:t xml:space="preserve">I.1 Ornstein-Uhlenbeck Process (Pairs Trading)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dX_t = κ(μ - X_t)dt + σ dW_t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κ = speed of mean reversion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μ = long-term mean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Trading rules: Enter long spread when Z-score &lt; -2; short when &gt; +2; exit at Z ≈ 0</w:t>
      </w:r>
    </w:p>
    <w:p>
      <w:pPr>
        <w:spacing w:after="80"/>
      </w:pPr>
    </w:p>
    <w:p>
      <w:pPr>
        <w:pStyle w:val="Heading2"/>
      </w:pPr>
      <w:r>
        <w:t xml:space="preserve">I.2 Graham Number (Value Investing)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Graham Number = √(22.5 × EPS × Book Value Per Share)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Where 22.5 = P/E of 15 × P/B of 1.5 (Graham's margin of safety)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StockPulse use: Screen Indian value stocks; flag when price &lt; Graham Number</w:t>
      </w:r>
    </w:p>
    <w:p>
      <w:pPr>
        <w:spacing w:after="80"/>
      </w:pPr>
    </w:p>
    <w:p>
      <w:pPr>
        <w:pStyle w:val="Heading2"/>
      </w:pPr>
      <w:r>
        <w:t xml:space="preserve">I.3 GJR-GARCH (Asymmetric Volatility) — Full Formula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σ²(t) = ω + α · e²(t-1) + γ · I(t-1) · e²(t-1) + β · σ²(t-1)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I(t-1) = 1 if e(t-1) &lt; 0, else 0 (leverage indicator)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γ captures the asymmetric leverage effect: negative shocks increase volatility more</w:t>
      </w:r>
    </w:p>
    <w:p>
      <w:pPr>
        <w:spacing w:after="80"/>
      </w:pPr>
    </w:p>
    <w:p>
      <w:pPr>
        <w:pStyle w:val="Heading2"/>
      </w:pPr>
      <w:r>
        <w:t xml:space="preserve">I.4 Additional Performance Ratios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Jensen's Alpha: </w:t>
      </w:r>
      <w:r>
        <w:rPr>
          <w:rFonts w:ascii="Arial" w:cs="Arial" w:eastAsia="Arial" w:hAnsi="Arial"/>
          <w:sz w:val="22"/>
          <w:szCs w:val="22"/>
        </w:rPr>
        <w:t xml:space="preserve">α = R_p - [R_f + β(R_m - R_f)] — excess return over CAPM prediction. Positive = manager skill.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Treynor Ratio: </w:t>
      </w:r>
      <w:r>
        <w:rPr>
          <w:rFonts w:ascii="Arial" w:cs="Arial" w:eastAsia="Arial" w:hAnsi="Arial"/>
          <w:sz w:val="22"/>
          <w:szCs w:val="22"/>
        </w:rPr>
        <w:t xml:space="preserve">(R_p - R_f) / β — return per unit of systematic risk. Best for diversified portfolios.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 Ratio: </w:t>
      </w:r>
      <w:r>
        <w:rPr>
          <w:rFonts w:ascii="Arial" w:cs="Arial" w:eastAsia="Arial" w:hAnsi="Arial"/>
          <w:sz w:val="22"/>
          <w:szCs w:val="22"/>
        </w:rPr>
        <w:t xml:space="preserve">IR = (R_p - R_b) / Tracking Error — excess return per unit of active risk.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Omega Ratio: </w:t>
      </w:r>
      <w:r>
        <w:rPr>
          <w:rFonts w:ascii="Arial" w:cs="Arial" w:eastAsia="Arial" w:hAnsi="Arial"/>
          <w:sz w:val="22"/>
          <w:szCs w:val="22"/>
        </w:rPr>
        <w:t xml:space="preserve">Probability-weighted gains vs losses above threshold. More complete than Sharpe as it considers entire return distribution. Shadwick &amp; Keating (2002).</w:t>
      </w:r>
    </w:p>
    <w:p>
      <w:r>
        <w:br w:type="page"/>
      </w:r>
    </w:p>
    <w:p>
      <w:pPr>
        <w:pStyle w:val="Heading1"/>
      </w:pPr>
      <w:r>
        <w:t xml:space="preserve">J. Position Sizing — Practical Rules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13 (Risk Management — Stop-Loss) — ENHANCE EXISTING</w:t>
      </w:r>
    </w:p>
    <w:p>
      <w:pPr>
        <w:spacing w:after="80"/>
      </w:pPr>
    </w:p>
    <w:p>
      <w:pPr>
        <w:pStyle w:val="Heading2"/>
      </w:pPr>
      <w:r>
        <w:t xml:space="preserve">J.1 Kelly Criterion — Worked Example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f = (bp - q) / 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 = odds (avg win / avg loss), p = win probability, q = 1-p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Example: 42.3% win rate, 2.15 odds → Full Kelly = 15.4%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Practical usage: Half Kelly (7.7%) or Quarter Kelly (3.9%) for reduced volatility</w:t>
      </w:r>
    </w:p>
    <w:p>
      <w:pPr>
        <w:spacing w:after="80"/>
      </w:pPr>
    </w:p>
    <w:p>
      <w:pPr>
        <w:pStyle w:val="Heading2"/>
      </w:pPr>
      <w:r>
        <w:t xml:space="preserve">J.2 Portfolio-Level Risk 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Maximum portfolio heat: 6-8% total risk at any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Sector exposure cap: 20-25% per sector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Correlation limits: Avoid highly correlated positions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Drawdown rule: Reduce position sizes after 10% drawdown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Never exceed 5% risk per trade regardless of confidence</w:t>
      </w:r>
    </w:p>
    <w:p>
      <w:pPr>
        <w:spacing w:after="80"/>
      </w:pPr>
    </w:p>
    <w:p>
      <w:pPr>
        <w:pStyle w:val="Heading2"/>
      </w:pPr>
      <w:r>
        <w:t xml:space="preserve">J.3 Success Metrics Targets for StockPulse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(directional)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(deployed strategies)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&gt;1.5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drawdown (annual)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(market hours)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&gt;99.9%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latency (end-to-end)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K. Essential Books, GitHub Repos &amp; Tools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23 (References) — NEW SUBSECTION</w:t>
      </w:r>
    </w:p>
    <w:p>
      <w:pPr>
        <w:spacing w:after="80"/>
      </w:pPr>
    </w:p>
    <w:p>
      <w:pPr>
        <w:pStyle w:val="Heading2"/>
      </w:pPr>
      <w:r>
        <w:t xml:space="preserve">K.1 Must-Read Books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"Advances in Financial Machine Learning" — Marcos Lopez de Prado (purged CV, meta-labeling, triple barrier)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"Inside the Black Box" — Rishi Narang (hedge fund operations demystified)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"Quantitative Trading" — Ernest Chan (retail quant starting guide)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"Active Portfolio Management" — Grinold &amp; Kahn (information ratio, alpha theory)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"Options, Futures, and Other Derivatives" — John Hull (derivatives pricing standard)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"Stochastic Calculus for Finance" — Steven Shreve (mathematical foundation)</w:t>
      </w:r>
    </w:p>
    <w:p>
      <w:pPr>
        <w:spacing w:after="80"/>
      </w:pPr>
    </w:p>
    <w:p>
      <w:pPr>
        <w:pStyle w:val="Heading2"/>
      </w:pPr>
      <w:r>
        <w:t xml:space="preserve">K.2 GitHub Repositories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microsoft/qlib — AI-oriented quantitative investment platform (Microsoft Research)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QuantConnect/Lean — Open-source algorithmic trading 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hudson-and-thames/mlfinlab — ML for finance (Lopez de Prado implementations)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vnpy/vnpy — Python-based quantitative trading framework</w:t>
      </w:r>
    </w:p>
    <w:p>
      <w:pPr>
        <w:spacing w:after="80"/>
      </w:pPr>
    </w:p>
    <w:p>
      <w:pPr>
        <w:pStyle w:val="Heading2"/>
      </w:pPr>
      <w:r>
        <w:t xml:space="preserve">K.3 Backtesting Frameworks Ranked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VectorBT PRO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Multi-asset, ML-first workflows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of ops/sec; parameter optimization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PyBroker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ML strategies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validation with retraining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Zipline-Reloaded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Long/short equity factor models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API for universe selection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dev with live deployment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Event-driven; extensive broker integration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HFT production systems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path from VectorBT PRO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K.4 Medallion Fund Key Takeaway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Jim Simons' core insight: Small statistical edges (50.75% win rate), executed thousands of times daily (150K-300K trades), compound into extraordinary returns (66.1% gross). Never override the computer. Start with data, not models. Hire scientists, not Wall Street veterans.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6B9E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Supplement v2.2 — Merge into StockPulse KB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Source: Kimi Research 1 (Indian Markets), 2 (Investment Models), 3 (Market Microstructure)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StockPulse — Supplement v2.2 (Kimi 1-3)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D8B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2026-03-17T01:47:45.109Z</dcterms:created>
  <dcterms:modified xsi:type="dcterms:W3CDTF">2026-03-17T01:47:45.110Z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