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STOCK PULSE — Research Supplement v2.3</w:t>
      </w:r>
    </w:p>
    <w:p>
      <w:pPr>
        <w:spacing w:after="100"/>
        <w:jc w:val="center"/>
      </w:pPr>
      <w:r>
        <w:rPr>
          <w:rFonts w:ascii="Arial" w:cs="Arial" w:eastAsia="Arial" w:hAnsi="Arial"/>
          <w:color w:val="2E6B9E"/>
          <w:sz w:val="26"/>
          <w:szCs w:val="26"/>
        </w:rPr>
        <w:t xml:space="preserve">New Findings from Gemini Research Documents 1–4</w:t>
      </w:r>
    </w:p>
    <w:p>
      <w:pPr>
        <w:pBdr>
          <w:bottom w:val="single" w:color="2E6B9E" w:sz="4" w:space="1"/>
        </w:pBd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Contains: TS-RAG, Forensic Models, DVM/MMI Frameworks, Indian Factor Data, SEBI 2025</w:t>
      </w:r>
    </w:p>
    <w:p>
      <w:pPr>
        <w:spacing w:after="80"/>
      </w:pPr>
    </w:p>
    <w:p>
      <w:pPr>
        <w:pStyle w:val="Heading1"/>
      </w:pPr>
      <w:r>
        <w:t xml:space="preserve">A. TS-RAG: Retrieval-Augmented Generation for Time Series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ADD TO: Section 5 (Foundation Models) — MAJOR NEW MODEL (NeurIPS 2025)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TS-RAG treats a massive database of historical stock patterns as a "knowledge base" and uses retrieval to enhance zero-shot forecasting. Solves the distribution shift problem where models trained on 2020 data fail in 2025.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Architecture: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1. Encoder: Input price sequences converted to high-dimensional embeddings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2. Retriever: Searches database for Top-K most similar historical segments across thousands of stocks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3. Adaptive Retrieval Mixer (ARM): Dynamically fuses retrieved historical outcomes with current market state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Advantage: </w:t>
      </w:r>
      <w:r>
        <w:rPr>
          <w:rFonts w:ascii="Arial" w:cs="Arial" w:eastAsia="Arial" w:hAnsi="Arial"/>
          <w:sz w:val="22"/>
          <w:szCs w:val="22"/>
        </w:rPr>
        <w:t xml:space="preserve">Generalizes across diverse, unseen datasets by finding relevant historical precedents. When Indian market enters unprecedented conditions, TS-RAG finds the closest global historical parallel.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StockPulse Use: </w:t>
      </w:r>
      <w:r>
        <w:rPr>
          <w:rFonts w:ascii="Arial" w:cs="Arial" w:eastAsia="Arial" w:hAnsi="Arial"/>
          <w:sz w:val="22"/>
          <w:szCs w:val="22"/>
        </w:rPr>
        <w:t xml:space="preserve">Build a pattern database from 10+ years of Nifty 500 history. For each prediction, retrieve the 50 most similar past patterns and fuse their outcomes with current features.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Reference: </w:t>
      </w:r>
      <w:r>
        <w:rPr>
          <w:rFonts w:ascii="Arial" w:cs="Arial" w:eastAsia="Arial" w:hAnsi="Arial"/>
          <w:sz w:val="22"/>
          <w:szCs w:val="22"/>
        </w:rPr>
        <w:t xml:space="preserve">NeurIPS 2025; GitHub: UConn-DSIS/TS-RAG</w:t>
      </w:r>
    </w:p>
    <w:p>
      <w:r>
        <w:br w:type="page"/>
      </w:r>
    </w:p>
    <w:p>
      <w:pPr>
        <w:pStyle w:val="Heading1"/>
      </w:pPr>
      <w:r>
        <w:t xml:space="preserve">B. Forensic Accounting Models: The "Red Flag" Engine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ADD TO: Section 13 (Risk Management) — NEW "STOCKS TO AVOID" SUBSECTION</w:t>
      </w:r>
    </w:p>
    <w:p>
      <w:pPr>
        <w:spacing w:after="80"/>
      </w:pPr>
    </w:p>
    <w:p>
      <w:pPr>
        <w:pStyle w:val="Heading2"/>
      </w:pPr>
      <w:r>
        <w:t xml:space="preserve">B.1 Altman Z-Score (Indian Calibration)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Formula: </w:t>
      </w:r>
      <w:r>
        <w:rPr>
          <w:rFonts w:ascii="Arial" w:cs="Arial" w:eastAsia="Arial" w:hAnsi="Arial"/>
          <w:sz w:val="22"/>
          <w:szCs w:val="22"/>
        </w:rPr>
        <w:t xml:space="preserve">Z = 1.2X1 + 1.4X2 + 3.3X3 + 0.6X4 + 1.0X5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X1 = Working Capital / Total Assets (Liquidity)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X2 = Retained Earnings / Total Assets (Cumulative Profitability)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X3 = EBIT / Total Assets (Operating Efficiency)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X4 = Market Value of Equity / Book Value of Total Liabilities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X5 = Sales / Total Assets (Asset Turnover)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Indian Thresholds: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Z &gt; 2.99: Safe Zone (low bankruptcy risk)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Z = 1.81–2.99: Grey Zone (moderate risk)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Z &lt; 1.81: Distress Zone (HIGH risk of failure)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 declining Z-score trajectory often correlates with downward stock price trend</w:t>
      </w:r>
    </w:p>
    <w:p>
      <w:pPr>
        <w:spacing w:after="80"/>
      </w:pPr>
    </w:p>
    <w:p>
      <w:pPr>
        <w:pStyle w:val="Heading2"/>
      </w:pPr>
      <w:r>
        <w:t xml:space="preserve">B.2 Beneish M-Score (Earnings Manipulation Detection)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Formula: </w:t>
      </w:r>
      <w:r>
        <w:rPr>
          <w:rFonts w:ascii="Arial" w:cs="Arial" w:eastAsia="Arial" w:hAnsi="Arial"/>
          <w:sz w:val="22"/>
          <w:szCs w:val="22"/>
        </w:rPr>
        <w:t xml:space="preserve">M = -4.84 + 0.92(DSRI) + 0.528(GMI) + 0.404(AQI) + 0.892(SGI) + 0.115(DEPI) - 0.172(SGAI) + 4.679(TATA) - 0.327(LVGI)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DSRI: Days' Sales in Receivables Index (flags revenue inflation)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GMI: Gross Margin Index (flags deteriorating prospects)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AQI: Asset Quality Index (flags excessive cost deferral)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TATA: Total Accruals to Total Assets (flags non-cash earnings)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Decision Rule: </w:t>
      </w:r>
      <w:r>
        <w:rPr>
          <w:rFonts w:ascii="Arial" w:cs="Arial" w:eastAsia="Arial" w:hAnsi="Arial"/>
          <w:sz w:val="22"/>
          <w:szCs w:val="22"/>
        </w:rPr>
        <w:t xml:space="preserve">M-Score &gt; -2.22 (e.g., -1.5 or +0.5) = HIGH probability company is manipulating earnings. Flagged Indian companies show significantly lower subsequent market returns.</w:t>
      </w:r>
    </w:p>
    <w:p>
      <w:pPr>
        <w:spacing w:after="80"/>
      </w:pPr>
    </w:p>
    <w:p>
      <w:pPr>
        <w:pStyle w:val="Heading2"/>
      </w:pPr>
      <w:r>
        <w:t xml:space="preserve">B.3 Piotroski F-Score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9-point scoring system assessing profitability (ROA, cash flow, margins), leverage (debt, current ratio), and operating efficiency (asset turnover, gross margin). In India (2007-2024), stocks with F-Score 7-9 consistently outperform indices and provide cushion during downturns.</w:t>
      </w:r>
    </w:p>
    <w:p>
      <w:pPr>
        <w:spacing w:after="80"/>
      </w:pPr>
    </w:p>
    <w:p>
      <w:pPr>
        <w:pStyle w:val="Heading2"/>
      </w:pPr>
      <w:r>
        <w:t xml:space="preserve">B.4 Promoter Pledging Alerts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Red Flag: </w:t>
      </w:r>
      <w:r>
        <w:rPr>
          <w:rFonts w:ascii="Arial" w:cs="Arial" w:eastAsia="Arial" w:hAnsi="Arial"/>
          <w:sz w:val="22"/>
          <w:szCs w:val="22"/>
        </w:rPr>
        <w:t xml:space="preserve">Promoter share pledging ratio exceeding 30-40% signals liquidity stress. Trigger high-risk warning on platform. Indian-specific signal not available in global models.</w:t>
      </w:r>
    </w:p>
    <w:p>
      <w:pPr>
        <w:spacing w:after="80"/>
      </w:pPr>
    </w:p>
    <w:p>
      <w:pPr>
        <w:pStyle w:val="Heading2"/>
      </w:pPr>
      <w:r>
        <w:t xml:space="preserve">B.5 200-Day SMA Filter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Mandatory trend filter: Auto-flag ANY stock trading below its 200-day SMA as "Avoid." Prevents users from buying into confirmed long-term bearish trends ("catching falling knives").</w:t>
      </w:r>
    </w:p>
    <w:p>
      <w:r>
        <w:br w:type="page"/>
      </w:r>
    </w:p>
    <w:p>
      <w:pPr>
        <w:pStyle w:val="Heading1"/>
      </w:pPr>
      <w:r>
        <w:t xml:space="preserve">C. DVM &amp; Market Mood Index Frameworks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ADD TO: Section 12 (Advanced Alpha) or NEW Section — INDIAN SCORING SYSTEMS</w:t>
      </w:r>
    </w:p>
    <w:p>
      <w:pPr>
        <w:spacing w:after="80"/>
      </w:pPr>
    </w:p>
    <w:p>
      <w:pPr>
        <w:pStyle w:val="Heading2"/>
      </w:pPr>
      <w:r>
        <w:t xml:space="preserve">C.1 Trendlyne DVM Framework (0-100 per stock)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 Score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Durability (Quality)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55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Revenue/profit growth consistency, cash flow stability, low debt, high ROE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Valuation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50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Undervalued relative to peers AND own historical range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Momentum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59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30+ technical indicators: price strength, volume trends, MA crossovers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Stocks in top 20% across ALL THREE DVM pillars significantly outperform broader indices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Indian factor performance: Quality factor = 18.6% CAGR over 20 years; Momentum = 20.64% CAGR since 2005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Normalized Momentum Score (professional formula):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Score = (0.5 × 6-Month Return + 0.5 × 12-Month Return) / Daily Volatility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Rewards stable uptrends; penalizes erratic high-risk movements.</w:t>
      </w:r>
    </w:p>
    <w:p>
      <w:pPr>
        <w:spacing w:after="80"/>
      </w:pPr>
    </w:p>
    <w:p>
      <w:pPr>
        <w:pStyle w:val="Heading2"/>
      </w:pPr>
      <w:r>
        <w:t xml:space="preserve">C.2 Tickertape Market Mood Index (MMI)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Composite sentiment indicator (0-100) for Indian market timing: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Extreme Fear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 signal — market oversold, open fresh positions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31–49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Cautious buying opportunity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Neutral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≈50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 — maintain positions if DVM momentum &gt; 59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51–70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Tighten stop-losses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Extreme Greed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70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 signal — book profits, avoid fresh buys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MMI Component Indicators (7 inputs):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1. FII Activity: Net open interest of FIIs in index futures on NSE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2. India VIX: Anticipated 30-day volatility from Nifty options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3. Market Breadth: Advancing vs declining stocks ratio on Nifty 50/Sensex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4. Price Momentum: 30-day EMA minus 90-day EMA of Nifty 50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5. Price Strength: % stocks at 52-week highs vs 52-week lows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6. Demand for Gold: Gold vs Nifty 50 relative returns (flight-to-safety)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7. Skew: OTM put IV minus OTM call IV (expected direction)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StockPulse Use: </w:t>
      </w:r>
      <w:r>
        <w:rPr>
          <w:rFonts w:ascii="Arial" w:cs="Arial" w:eastAsia="Arial" w:hAnsi="Arial"/>
          <w:sz w:val="22"/>
          <w:szCs w:val="22"/>
        </w:rPr>
        <w:t xml:space="preserve">Build proprietary MMI-equivalent from these 7 components. Use as primary buy/sell timing signal.</w:t>
      </w:r>
    </w:p>
    <w:p>
      <w:r>
        <w:br w:type="page"/>
      </w:r>
    </w:p>
    <w:p>
      <w:pPr>
        <w:pStyle w:val="Heading1"/>
      </w:pPr>
      <w:r>
        <w:t xml:space="preserve">D. Valuation-Based Sell Signals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ADD TO: Section 13 (Risk — Stop-Loss) — NEW SELL LOGIC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P/E Z-Score Optimization: </w:t>
      </w:r>
      <w:r>
        <w:rPr>
          <w:rFonts w:ascii="Arial" w:cs="Arial" w:eastAsia="Arial" w:hAnsi="Arial"/>
          <w:sz w:val="22"/>
          <w:szCs w:val="22"/>
        </w:rPr>
        <w:t xml:space="preserve">Book profits when a stock's P/E Z-score exceeds +2, indicating significant overvaluation vs sector peers. Compute Z = (Stock_PE - Sector_Mean_PE) / Sector_StdDev_PE.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Valuation Score Alert: </w:t>
      </w:r>
      <w:r>
        <w:rPr>
          <w:rFonts w:ascii="Arial" w:cs="Arial" w:eastAsia="Arial" w:hAnsi="Arial"/>
          <w:sz w:val="22"/>
          <w:szCs w:val="22"/>
        </w:rPr>
        <w:t xml:space="preserve">Flag stocks with DVM Valuation Score &lt; 30 as "pricey" — company's strengths fully priced in; high correction risk during pullbacks.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PEG Ratio: </w:t>
      </w:r>
      <w:r>
        <w:rPr>
          <w:rFonts w:ascii="Arial" w:cs="Arial" w:eastAsia="Arial" w:hAnsi="Arial"/>
          <w:sz w:val="22"/>
          <w:szCs w:val="22"/>
        </w:rPr>
        <w:t xml:space="preserve">PEG = P/E / Expected EPS Growth Rate. PEG ≤ 1.0 = potentially undervalued relative to growth. PEG &gt; 2.0 = overvalued signal.</w:t>
      </w:r>
    </w:p>
    <w:p>
      <w:r>
        <w:br w:type="page"/>
      </w:r>
    </w:p>
    <w:p>
      <w:pPr>
        <w:pStyle w:val="Heading1"/>
      </w:pPr>
      <w:r>
        <w:t xml:space="preserve">E. Factor Model Performance in Indian Markets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ADD TO: Section 9 (Quant Finance — Factor Models) — ENHANCE WITH INDIAN DATA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Research on NSE-listed stocks (1995-2022) confirms Fama-French 5-Factor significantly outperforms CAPM for Indian returns: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Indian Market Finding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(Rm-Rf)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and significant as expected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Size (SMB)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Significant predictor; small-cap premium exists in India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 (HML)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Significant; high book-to-market stocks outperform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Profitability (RMW)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Significant predictor in India; high-profit firms outperform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Investment (CMA)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 success in India during 2019-2024 tumultuous periods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 Factor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18.6% CAGR over 20 years in India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Momentum Factor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20.64% CAGR since 2005 in India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Key insight: Indian markets are REGIME-DRIVEN, not factor-stable. Static factor allocations break down during sharp shifts. Dynamic regime-adaptive factor weighting is essential.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SPIVA Data: </w:t>
      </w:r>
      <w:r>
        <w:rPr>
          <w:rFonts w:ascii="Arial" w:cs="Arial" w:eastAsia="Arial" w:hAnsi="Arial"/>
          <w:sz w:val="22"/>
          <w:szCs w:val="22"/>
        </w:rPr>
        <w:t xml:space="preserve">80% of Indian large-cap active managers underperform Nifty 50 over 5 years. Validates quant-driven approach over discretionary management.</w:t>
      </w:r>
    </w:p>
    <w:p>
      <w:r>
        <w:br w:type="page"/>
      </w:r>
    </w:p>
    <w:p>
      <w:pPr>
        <w:pStyle w:val="Heading1"/>
      </w:pPr>
      <w:r>
        <w:t xml:space="preserve">F. Additional Evaluation Metrics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ADD TO: Section 21 (Evaluation Metrics) — NEW METRICS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Walk-Forward Efficiency (WFE): </w:t>
      </w:r>
      <w:r>
        <w:rPr>
          <w:rFonts w:ascii="Arial" w:cs="Arial" w:eastAsia="Arial" w:hAnsi="Arial"/>
          <w:sz w:val="22"/>
          <w:szCs w:val="22"/>
        </w:rPr>
        <w:t xml:space="preserve">(OOS Annualized Return) / (IS Annualized Return). WFE &gt; 50-60% suggests strategy is robust and not over-optimized. Below 50% = likely overfit.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LSTM-CNN Benchmark: </w:t>
      </w:r>
      <w:r>
        <w:rPr>
          <w:rFonts w:ascii="Arial" w:cs="Arial" w:eastAsia="Arial" w:hAnsi="Arial"/>
          <w:sz w:val="22"/>
          <w:szCs w:val="22"/>
        </w:rPr>
        <w:t xml:space="preserve">Hybrid LSTM-CNN achieves MAPE as low as 2.72% for next-day price prediction on Indian stocks.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TFT Quantile Outputs: </w:t>
      </w:r>
      <w:r>
        <w:rPr>
          <w:rFonts w:ascii="Arial" w:cs="Arial" w:eastAsia="Arial" w:hAnsi="Arial"/>
          <w:sz w:val="22"/>
          <w:szCs w:val="22"/>
        </w:rPr>
        <w:t xml:space="preserve">Instead of single price point, TFT generates prediction intervals (10th, 50th, 90th percentiles) — users understand uncertainty range.</w:t>
      </w:r>
    </w:p>
    <w:p>
      <w:r>
        <w:br w:type="page"/>
      </w:r>
    </w:p>
    <w:p>
      <w:pPr>
        <w:pStyle w:val="Heading1"/>
      </w:pPr>
      <w:r>
        <w:t xml:space="preserve">G. Execution &amp; Architecture Additions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ADD TO: Section 22 (Architecture) — ENHANCE</w:t>
      </w:r>
    </w:p>
    <w:p>
      <w:pPr>
        <w:spacing w:after="80"/>
      </w:pPr>
    </w:p>
    <w:p>
      <w:pPr>
        <w:pStyle w:val="Heading2"/>
      </w:pPr>
      <w:r>
        <w:t xml:space="preserve">G.1 POV Execution Algorithm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Percentage of Volume (POV): </w:t>
      </w:r>
      <w:r>
        <w:rPr>
          <w:rFonts w:ascii="Arial" w:cs="Arial" w:eastAsia="Arial" w:hAnsi="Arial"/>
          <w:sz w:val="22"/>
          <w:szCs w:val="22"/>
        </w:rPr>
        <w:t xml:space="preserve">Dynamically adjusts order size to match a preset fraction of market volume. Ensures the platform "fades" into general market flow. Best for mid/large-cap NSE stocks.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Three execution algos ranked: VWAP (liquid Nifty 50) &gt; TWAP (illiquid mid/small-cap) &gt; POV (blending into volume).</w:t>
      </w:r>
    </w:p>
    <w:p>
      <w:pPr>
        <w:spacing w:after="80"/>
      </w:pPr>
    </w:p>
    <w:p>
      <w:pPr>
        <w:pStyle w:val="Heading2"/>
      </w:pPr>
      <w:r>
        <w:t xml:space="preserve">G.2 Stream Processing Stack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Apache Flink: </w:t>
      </w:r>
      <w:r>
        <w:rPr>
          <w:rFonts w:ascii="Arial" w:cs="Arial" w:eastAsia="Arial" w:hAnsi="Arial"/>
          <w:sz w:val="22"/>
          <w:szCs w:val="22"/>
        </w:rPr>
        <w:t xml:space="preserve">Stateful stream processing for real-time windowing. Aggregates tick data into OHLCV bars and computes live indicators (RSI, MA) as ticks arrive. Superior to Spark Streaming for low-latency.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ScyllaDB: </w:t>
      </w:r>
      <w:r>
        <w:rPr>
          <w:rFonts w:ascii="Arial" w:cs="Arial" w:eastAsia="Arial" w:hAnsi="Arial"/>
          <w:sz w:val="22"/>
          <w:szCs w:val="22"/>
        </w:rPr>
        <w:t xml:space="preserve">NoSQL optimized for low-latency writes. Use for real-time portfolio management and execution logs. Complements TimescaleDB (reads/analytics).</w:t>
      </w:r>
    </w:p>
    <w:p>
      <w:pPr>
        <w:spacing w:after="80"/>
      </w:pPr>
    </w:p>
    <w:p>
      <w:pPr>
        <w:pStyle w:val="Heading2"/>
      </w:pPr>
      <w:r>
        <w:t xml:space="preserve">G.3 Mandatory Infrastructure Hosting (SEBI 2025)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Algorithms can NO LONGER run from home laptops. Must be hosted on broker-owned or exchange-certified infrastructure for auditability. Open, unrestricted APIs are prohibited. This is a hard SEBI requirement effective August 2025.</w:t>
      </w:r>
    </w:p>
    <w:p>
      <w:r>
        <w:br w:type="page"/>
      </w:r>
    </w:p>
    <w:p>
      <w:pPr>
        <w:pStyle w:val="Heading1"/>
      </w:pPr>
      <w:r>
        <w:t xml:space="preserve">H. Indian Market Open-Source Tools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ADD TO: Section 23 (References) — NEW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OpenAlgo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Unified API layer across 24+ Indian brokers; Python + TradingView support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Multi-broker execution abstraction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PKScreener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Python stock screener specifically for NSE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Universe screening; filter by technicals/fundamentals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backtesting.py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High-speed framework with interactive visualizations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Rapid strategy prototyping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RRG-Sector-Rotation-India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Relative Rotation Graphs for Indian sector rotation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Sector momentum/timing strategies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Pandas-TA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130+ technical indicators library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engineering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QuantStats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Institutional-grade performance tear sheets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Sharpe, drawdown, rolling metrics reporting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PyFolio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 and risk analytics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Post-trade analysis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H.1 NSE Official Data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4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INR/Year</w:t>
            </w:r>
          </w:p>
        </w:tc>
        <w:tc>
          <w:tcPr>
            <w:tcW w:type="dxa" w:w="4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Use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5-Minute Snapshot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₹4,00,000</w:t>
            </w:r>
          </w:p>
        </w:tc>
        <w:tc>
          <w:tcPr>
            <w:tcW w:type="dxa" w:w="4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Long-term portfolio tracking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2-Minute Snapshot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₹8,00,000</w:t>
            </w:r>
          </w:p>
        </w:tc>
        <w:tc>
          <w:tcPr>
            <w:tcW w:type="dxa" w:w="4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Medium-term trend analysis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1-Minute Snapshot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₹15,00,000</w:t>
            </w:r>
          </w:p>
        </w:tc>
        <w:tc>
          <w:tcPr>
            <w:tcW w:type="dxa" w:w="4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Short-term strategy execution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Stock Real-Time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₹10,000</w:t>
            </w:r>
          </w:p>
        </w:tc>
        <w:tc>
          <w:tcPr>
            <w:tcW w:type="dxa" w:w="4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stock research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TBT / Level 3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(institutional)</w:t>
            </w:r>
          </w:p>
        </w:tc>
        <w:tc>
          <w:tcPr>
            <w:tcW w:type="dxa" w:w="4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HFT and market making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Bdr>
          <w:top w:val="single" w:color="2E6B9E" w:sz="2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End of Supplement v2.3 — Merge into StockPulse KB v2.0</w:t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Source: Gemini Research 1-4 | 20 research documents now processed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StockPulse — Supplement v2.3 (Gemini 1-4)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80"/>
      <w:outlineLvl w:val="0"/>
    </w:pPr>
    <w:rPr>
      <w:rFonts w:ascii="Arial" w:cs="Arial" w:eastAsia="Arial" w:hAnsi="Arial"/>
      <w:b/>
      <w:bCs/>
      <w:color w:val="1B3A5C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40"/>
      <w:outlineLvl w:val="1"/>
    </w:pPr>
    <w:rPr>
      <w:rFonts w:ascii="Arial" w:cs="Arial" w:eastAsia="Arial" w:hAnsi="Arial"/>
      <w:b/>
      <w:bCs/>
      <w:color w:val="2E6B9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2026-03-17T02:02:39.012Z</dcterms:created>
  <dcterms:modified xsi:type="dcterms:W3CDTF">2026-03-17T02:02:39.013Z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