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r>
        <w:br w:type="page"/>
      </w:r>
    </w:p>
    <w:p>
      <w:r>
        <w:t>Page 2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1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2</w:t>
            </w:r>
          </w:p>
        </w:tc>
        <w:tc>
          <w:tcPr>
            <w:tcW w:type="dxa" w:w="3269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3</w:t>
            </w:r>
          </w:p>
        </w:tc>
      </w:tr>
      <w:tr>
        <w:trPr>
          <w:cantSplit/>
        </w:trP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A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B</w:t>
            </w:r>
          </w:p>
        </w:tc>
        <w:tc>
          <w:tcPr>
            <w:tcW w:type="dxa" w:w="3269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D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</w:t>
            </w:r>
          </w:p>
        </w:tc>
        <w:tc>
          <w:tcPr>
            <w:tcW w:type="dxa" w:w="3269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F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4748B"/>
        <w:sz w:val="17"/>
      </w:rPr>
      <w:t>Confidential  •  Academic &amp; Technical Documentation Report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64748B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/>
        <w:color w:val="64748B"/>
        <w:sz w:val="17"/>
      </w:rPr>
      <w:t>Autonomous Network Healing Platform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