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</w:t>
      </w:r>
    </w:p>
    <w:p>
      <w:r>
        <w:br w:type="page"/>
      </w:r>
    </w:p>
    <w:p>
      <w:r>
        <w:t>Page 2 content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rPr>
          <w:tblHeader/>
          <w:cantSplit/>
        </w:trP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  <w:shd w:fill="1E293B"/>
            <w:tcBorders>
              <w:top w:val="single" w:sz="6" w:space="0" w:color="0F172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Col 1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  <w:shd w:fill="1E293B"/>
            <w:tcBorders>
              <w:top w:val="single" w:sz="6" w:space="0" w:color="0F172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Col 2</w:t>
            </w:r>
          </w:p>
        </w:tc>
        <w:tc>
          <w:tcPr>
            <w:tcW w:type="dxa" w:w="3269"/>
            <w:tcMar>
              <w:top w:w="70" w:type="dxa"/>
              <w:bottom w:w="70" w:type="dxa"/>
              <w:left w:w="90" w:type="dxa"/>
              <w:right w:w="90" w:type="dxa"/>
            </w:tcMar>
            <w:shd w:fill="1E293B"/>
            <w:tcBorders>
              <w:top w:val="single" w:sz="6" w:space="0" w:color="0F172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Col 3</w:t>
            </w:r>
          </w:p>
        </w:tc>
      </w:tr>
      <w:tr>
        <w:trPr>
          <w:cantSplit/>
        </w:trPr>
        <w:tc>
          <w:tcPr>
            <w:tcW w:type="dxa" w:w="2880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none" w:sz="4" w:space="0" w:color="auto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0F172A"/>
                <w:sz w:val="16"/>
              </w:rPr>
              <w:t>A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none" w:sz="4" w:space="0" w:color="auto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334155"/>
                <w:sz w:val="16"/>
              </w:rPr>
              <w:t>B</w:t>
            </w:r>
          </w:p>
        </w:tc>
        <w:tc>
          <w:tcPr>
            <w:tcW w:type="dxa" w:w="3269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none" w:sz="4" w:space="0" w:color="auto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334155"/>
                <w:sz w:val="16"/>
              </w:rPr>
              <w:t>C</w:t>
            </w:r>
          </w:p>
        </w:tc>
      </w:tr>
      <w:tr>
        <w:trPr>
          <w:cantSplit/>
        </w:trPr>
        <w:tc>
          <w:tcPr>
            <w:tcW w:type="dxa" w:w="2880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none" w:sz="4" w:space="0" w:color="auto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0F172A"/>
                <w:sz w:val="16"/>
              </w:rPr>
              <w:t>D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none" w:sz="4" w:space="0" w:color="auto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334155"/>
                <w:sz w:val="16"/>
              </w:rPr>
              <w:t>E</w:t>
            </w:r>
          </w:p>
        </w:tc>
        <w:tc>
          <w:tcPr>
            <w:tcW w:type="dxa" w:w="3269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none" w:sz="4" w:space="0" w:color="auto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334155"/>
                <w:sz w:val="16"/>
              </w:rPr>
              <w:t>F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899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9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60"/>
        <w:jc w:val="center"/>
      </w:pPr>
      <w:r>
        <w:rPr>
          <w:rFonts w:ascii="Arial" w:hAnsi="Arial"/>
          <w:i/>
          <w:color w:val="64748B"/>
          <w:sz w:val="17"/>
        </w:rPr>
        <w:t>Fig 1</w:t>
      </w:r>
    </w:p>
    <w:p>
      <w:r>
        <w:br w:type="page"/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160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closed_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6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60"/>
        <w:jc w:val="center"/>
      </w:pPr>
      <w:r>
        <w:rPr>
          <w:rFonts w:ascii="Arial" w:hAnsi="Arial"/>
          <w:i/>
          <w:color w:val="64748B"/>
          <w:sz w:val="17"/>
        </w:rPr>
        <w:t>Fig 2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/>
        <w:color w:val="64748B"/>
        <w:sz w:val="17"/>
      </w:rPr>
      <w:t>Confidential  •  Academic &amp; Technical Documentation Report</w:t>
      <w:tab/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rPr>
        <w:rFonts w:ascii="Arial" w:hAnsi="Arial"/>
        <w:color w:val="64748B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Arial" w:hAnsi="Arial"/>
        <w:color w:val="64748B"/>
        <w:sz w:val="17"/>
      </w:rPr>
      <w:t>Autonomous Network Healing Platform  |  Technical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