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AUTONOMOUS NETWORK HEALING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blHeader/>
          <w:cantSplit/>
        </w:trPr>
        <w:tc>
          <w:tcPr>
            <w:tcW w:type="dxa" w:w="3600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5429"/>
            <w:tcMar>
              <w:top w:w="70" w:type="dxa"/>
              <w:bottom w:w="70" w:type="dxa"/>
              <w:left w:w="90" w:type="dxa"/>
              <w:right w:w="90" w:type="dxa"/>
            </w:tcMar>
            <w:shd w:fill="1E293B"/>
            <w:tcBorders>
              <w:top w:val="single" w:sz="6" w:space="0" w:color="0F172A"/>
              <w:left w:val="none" w:sz="4" w:space="0" w:color="auto"/>
              <w:bottom w:val="single" w:sz="12" w:space="0" w:color="0F172A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rPr>
          <w:cantSplit/>
        </w:trPr>
        <w:tc>
          <w:tcPr>
            <w:tcW w:type="dxa" w:w="3600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Title</w:t>
            </w:r>
          </w:p>
        </w:tc>
        <w:tc>
          <w:tcPr>
            <w:tcW w:type="dxa" w:w="5429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Platform</w:t>
            </w:r>
          </w:p>
        </w:tc>
      </w:tr>
      <w:tr>
        <w:trPr>
          <w:cantSplit/>
        </w:trPr>
        <w:tc>
          <w:tcPr>
            <w:tcW w:type="dxa" w:w="3600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Status</w:t>
            </w:r>
          </w:p>
        </w:tc>
        <w:tc>
          <w:tcPr>
            <w:tcW w:type="dxa" w:w="5429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  <w:tcBorders>
              <w:top w:val="none" w:sz="4" w:space="0" w:color="auto"/>
              <w:left w:val="none" w:sz="4" w:space="0" w:color="auto"/>
              <w:bottom w:val="single" w:sz="4" w:space="0" w:color="E2E8F0"/>
              <w:right w:val="none" w:sz="4" w:space="0" w:color="auto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color w:val="334155"/>
                <w:sz w:val="16"/>
              </w:rPr>
              <w:t>Active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70" w:type="dxa"/>
              <w:bottom w:w="70" w:type="dxa"/>
              <w:left w:w="120" w:type="dxa"/>
              <w:right w:w="120" w:type="dxa"/>
            </w:tcMar>
            <w:shd w:fill="F0F9FF"/>
            <w:tcBorders>
              <w:top w:val="none" w:sz="4" w:space="0" w:color="auto"/>
              <w:left w:val="single" w:sz="20" w:space="0" w:color="0284C7"/>
              <w:bottom w:val="none" w:sz="4" w:space="0" w:color="auto"/>
              <w:right w:val="none" w:sz="4" w:space="0" w:color="auto"/>
            </w:tcBorders>
          </w:tcPr>
          <w:p>
            <w:pPr>
              <w:spacing w:before="0" w:after="2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■ CALLOUT</w:t>
              <w:br/>
            </w:r>
            <w:r>
              <w:rPr>
                <w:rFonts w:ascii="Arial" w:hAnsi="Arial"/>
                <w:color w:val="334155"/>
                <w:sz w:val="18"/>
              </w:rPr>
              <w:t>Testing callout on page 1</w:t>
            </w:r>
          </w:p>
        </w:tc>
      </w:tr>
    </w:tbl>
    <w:p>
      <w:pPr>
        <w:spacing w:before="0"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64748B"/>
        <w:sz w:val="17"/>
      </w:rPr>
      <w:t>Confidential  •  Academic &amp; Technical Documentation Report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64748B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/>
        <w:color w:val="64748B"/>
        <w:sz w:val="17"/>
      </w:rPr>
      <w:t>Autonomous Network Healing Platform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