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pPr>
    </w:p>
    <w:p>
      <w:pPr>
        <w:spacing w:after="280"/>
        <w:jc w:val="center"/>
      </w:pPr>
      <w:r>
        <w:rPr>
          <w:rFonts w:ascii="Arial" w:hAnsi="Arial"/>
          <w:b/>
          <w:color w:val="0284C7"/>
          <w:sz w:val="20"/>
        </w:rPr>
        <w:t>ENTERPRISE DISTRIBUTED SYSTEMS &amp; AUTONOMOUS INFRASTRUCTURE RESEARCH</w:t>
      </w:r>
    </w:p>
    <w:p>
      <w:pPr>
        <w:spacing w:after="160" w:line="276" w:lineRule="auto"/>
        <w:jc w:val="center"/>
      </w:pPr>
      <w:r>
        <w:rPr>
          <w:rFonts w:ascii="Arial" w:hAnsi="Arial"/>
          <w:b/>
          <w:color w:val="0F172A"/>
          <w:sz w:val="44"/>
        </w:rPr>
        <w:t>AUTONOMOUS NETWORK HEALING PLATFORM</w:t>
      </w:r>
    </w:p>
    <w:p>
      <w:pPr>
        <w:spacing w:after="480"/>
        <w:jc w:val="center"/>
      </w:pPr>
      <w:r>
        <w:rPr>
          <w:rFonts w:ascii="Arial" w:hAnsi="Arial"/>
          <w:color w:val="334155"/>
          <w:sz w:val="24"/>
        </w:rPr>
        <w:t>A Closed-Loop, Telemetry-Driven Infrastructure Monitoring &amp;</w:t>
        <w:br/>
        <w:t>Automated Playbook Remediation System</w:t>
      </w:r>
    </w:p>
    <w:p>
      <w:pPr>
        <w:spacing w:after="560"/>
        <w:jc w:val="center"/>
      </w:pPr>
      <w:r>
        <w:rPr>
          <w:rFonts w:ascii="Arial" w:hAnsi="Arial"/>
          <w:b/>
          <w:color w:val="0284C7"/>
          <w:sz w:val="28"/>
        </w:rPr>
        <w:t>——————————————————————————————————————</w:t>
      </w:r>
    </w:p>
    <w:tbl>
      <w:tblPr>
        <w:tblW w:type="auto" w:w="0"/>
        <w:jc w:val="center"/>
        <w:tblLayout w:type="fixed"/>
        <w:tblLook w:firstColumn="1" w:firstRow="1" w:lastColumn="0" w:lastRow="0" w:noHBand="0" w:noVBand="1" w:val="04A0"/>
      </w:tblPr>
      <w:tblGrid>
        <w:gridCol w:w="4514"/>
        <w:gridCol w:w="4514"/>
      </w:tblGrid>
      <w:tr>
        <w:trPr>
          <w:tblHeader/>
          <w:cantSplit/>
        </w:trPr>
        <w:tc>
          <w:tcPr>
            <w:tcW w:type="dxa" w:w="3168"/>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7"/>
              </w:rPr>
              <w:t>PROJECT SPECIFICATION ATTRIBUTE</w:t>
            </w:r>
          </w:p>
        </w:tc>
        <w:tc>
          <w:tcPr>
            <w:tcW w:type="dxa" w:w="5861"/>
            <w:tcMar>
              <w:top w:w="70" w:type="dxa"/>
              <w:bottom w:w="70" w:type="dxa"/>
              <w:left w:w="90" w:type="dxa"/>
              <w:right w:w="90" w:type="dxa"/>
            </w:tcMar>
            <w:shd w:fill="1E293B"/>
            <w:tcBorders>
              <w:top w:val="single" w:sz="6" w:space="0" w:color="0F172A"/>
              <w:left w:val="none" w:sz="4" w:space="0" w:color="auto"/>
              <w:bottom w:val="single" w:sz="12" w:space="0" w:color="0F172A"/>
              <w:right w:val="none" w:sz="4" w:space="0" w:color="auto"/>
            </w:tcBorders>
          </w:tcPr>
          <w:p>
            <w:pPr>
              <w:spacing w:before="0" w:after="0"/>
              <w:jc w:val="left"/>
            </w:pPr>
            <w:r>
              <w:rPr>
                <w:rFonts w:ascii="Arial" w:hAnsi="Arial"/>
                <w:b/>
                <w:color w:val="FFFFFF"/>
                <w:sz w:val="17"/>
              </w:rPr>
              <w:t>METADATA &amp; SUBMISSION DETAILS</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Project Title</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Autonomous Network Healing Platform</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System Classification</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Full-Stack Enterprise Autonomous Remediation Platform</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Candidate / Author Name</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Autonomous Systems &amp; Network Engineering Group</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Department / Program</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Department of Computer Science &amp; Engineering</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Institution / Organization</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Cloud Infrastructure &amp; High-Performance Networks Lab</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Academic Year / Session</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2025 – 2026</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Faculty Guide / Supervisor</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Technical Review Committee &amp; Systems Architecture Guide</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Target Technology Stack</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Spring Boot 3.3.4, Java 21 LTS, Next.js 14 App Router, MySQL 8/9</w:t>
            </w:r>
          </w:p>
        </w:tc>
      </w:tr>
      <w:tr>
        <w:trPr>
          <w:cantSplit/>
        </w:trPr>
        <w:tc>
          <w:tcPr>
            <w:tcW w:type="dxa" w:w="3168"/>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Document Release Version</w:t>
            </w:r>
          </w:p>
        </w:tc>
        <w:tc>
          <w:tcPr>
            <w:tcW w:type="dxa" w:w="5861"/>
            <w:tcMar>
              <w:top w:w="50" w:type="dxa"/>
              <w:bottom w:w="50" w:type="dxa"/>
              <w:left w:w="90" w:type="dxa"/>
              <w:right w:w="90" w:type="dxa"/>
            </w:tcMar>
            <w:shd w:fill="FFFFFF"/>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Version 1.0.0 (Production Submission Specification)</w:t>
            </w:r>
          </w:p>
        </w:tc>
      </w:tr>
      <w:tr>
        <w:trPr>
          <w:cantSplit/>
        </w:trPr>
        <w:tc>
          <w:tcPr>
            <w:tcW w:type="dxa" w:w="3168"/>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b/>
                <w:color w:val="0F172A"/>
                <w:sz w:val="16"/>
              </w:rPr>
              <w:t>Verification Status</w:t>
            </w:r>
          </w:p>
        </w:tc>
        <w:tc>
          <w:tcPr>
            <w:tcW w:type="dxa" w:w="5861"/>
            <w:tcMar>
              <w:top w:w="50" w:type="dxa"/>
              <w:bottom w:w="50" w:type="dxa"/>
              <w:left w:w="90" w:type="dxa"/>
              <w:right w:w="90" w:type="dxa"/>
            </w:tcMar>
            <w:shd w:fill="F8FAFC"/>
            <w:tcBorders>
              <w:top w:val="none" w:sz="4" w:space="0" w:color="auto"/>
              <w:left w:val="none" w:sz="4" w:space="0" w:color="auto"/>
              <w:bottom w:val="single" w:sz="4" w:space="0" w:color="E2E8F0"/>
              <w:right w:val="none" w:sz="4" w:space="0" w:color="auto"/>
            </w:tcBorders>
          </w:tcPr>
          <w:p>
            <w:pPr>
              <w:spacing w:before="0" w:after="0" w:line="276" w:lineRule="auto"/>
              <w:jc w:val="left"/>
            </w:pPr>
            <w:r>
              <w:rPr>
                <w:rFonts w:ascii="Arial" w:hAnsi="Arial"/>
                <w:color w:val="334155"/>
                <w:sz w:val="16"/>
              </w:rPr>
              <w:t>Fully Implemented, Verified &amp; Validated (19/19 Unit &amp; Integration Tests)</w:t>
            </w:r>
          </w:p>
        </w:tc>
      </w:tr>
    </w:tbl>
    <w:p>
      <w:pPr>
        <w:spacing w:before="0" w:after="360"/>
      </w:pPr>
    </w:p>
    <w:tbl>
      <w:tblPr>
        <w:tblW w:type="auto" w:w="0"/>
        <w:jc w:val="center"/>
        <w:tblLayout w:type="fixed"/>
        <w:tblLook w:firstColumn="1" w:firstRow="1" w:lastColumn="0" w:lastRow="0" w:noHBand="0" w:noVBand="1" w:val="04A0"/>
      </w:tblPr>
      <w:tblGrid>
        <w:gridCol w:w="9029"/>
      </w:tblGrid>
      <w:tr>
        <w:tc>
          <w:tcPr>
            <w:tcW w:type="dxa" w:w="9029"/>
            <w:tcMar>
              <w:top w:w="70" w:type="dxa"/>
              <w:bottom w:w="70" w:type="dxa"/>
              <w:left w:w="120" w:type="dxa"/>
              <w:right w:w="120" w:type="dxa"/>
            </w:tcMar>
            <w:shd w:fill="F0F9FF"/>
            <w:tcBorders>
              <w:top w:val="none" w:sz="4" w:space="0" w:color="auto"/>
              <w:left w:val="single" w:sz="20" w:space="0" w:color="0284C7"/>
              <w:bottom w:val="none" w:sz="4" w:space="0" w:color="auto"/>
              <w:right w:val="none" w:sz="4" w:space="0" w:color="auto"/>
            </w:tcBorders>
          </w:tcPr>
          <w:p>
            <w:pPr>
              <w:spacing w:before="0" w:after="20" w:line="276" w:lineRule="auto"/>
            </w:pPr>
            <w:r>
              <w:rPr>
                <w:rFonts w:ascii="Arial" w:hAnsi="Arial"/>
                <w:b/>
                <w:color w:val="0F172A"/>
                <w:sz w:val="19"/>
              </w:rPr>
              <w:t>■ ENGINEERING VERIFICATION &amp; ARTIFACT COMPLIANCE</w:t>
              <w:br/>
            </w:r>
            <w:r>
              <w:rPr>
                <w:rFonts w:ascii="Arial" w:hAnsi="Arial"/>
                <w:color w:val="334155"/>
                <w:sz w:val="18"/>
              </w:rPr>
              <w:t>This technical document presents the complete architectural specification, system design, data dictionary, automated test results, and operational performance metrics of the Autonomous Network Healing Platform. All presented data models, REST endpoints, and diagnostic algorithms reflect the verified production codebase.</w:t>
            </w:r>
          </w:p>
        </w:tc>
      </w:tr>
    </w:tbl>
    <w:p>
      <w:pPr>
        <w:spacing w:before="0" w:after="0"/>
      </w:pP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4748B"/>
        <w:sz w:val="17"/>
      </w:rPr>
      <w:t>Confidential  •  Academic &amp; Technical Documentation Report</w:t>
      <w:tab/>
      <w:tab/>
      <w:t xml:space="preserve">Page </w:t>
    </w:r>
    <w:r>
      <w:fldChar w:fldCharType="begin"/>
    </w:r>
    <w:r>
      <w:instrText xml:space="preserve"> PAGE </w:instrText>
    </w:r>
    <w:r>
      <w:fldChar w:fldCharType="separate"/>
    </w:r>
    <w:r>
      <w:fldChar w:fldCharType="end"/>
    </w:r>
    <w:r>
      <w:rPr>
        <w:rFonts w:ascii="Arial" w:hAnsi="Arial"/>
        <w:color w:val="64748B"/>
        <w:sz w:val="17"/>
      </w:rPr>
      <w:t xml:space="preserve"> of </w:t>
    </w:r>
    <w:r>
      <w:fldChar w:fldCharType="begin"/>
    </w:r>
    <w:r>
      <w:instrText xml:space="preserve"> NUMPAGES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color w:val="64748B"/>
        <w:sz w:val="17"/>
      </w:rPr>
      <w:t>Autonomous Network Healing Platform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