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20"/>
        <w:jc w:val="left"/>
      </w:pPr>
      <w:r>
        <w:rPr>
          <w:rFonts w:ascii="Arial" w:hAnsi="Arial"/>
          <w:b/>
          <w:color w:val="0F172A"/>
          <w:sz w:val="30"/>
        </w:rPr>
        <w:t>Chapter 1 — Abstract &amp; Executive Summary</w:t>
      </w:r>
    </w:p>
    <w:p>
      <w:pPr>
        <w:keepNext/>
        <w:spacing w:before="40" w:after="60"/>
        <w:jc w:val="left"/>
      </w:pPr>
      <w:r>
        <w:rPr>
          <w:rFonts w:ascii="Arial" w:hAnsi="Arial"/>
          <w:b/>
          <w:color w:val="0284C7"/>
          <w:sz w:val="24"/>
        </w:rPr>
        <w:t>1.1 Executive Summary</w:t>
      </w:r>
    </w:p>
    <w:p>
      <w:pPr>
        <w:spacing w:before="0" w:after="60" w:line="276" w:lineRule="auto"/>
        <w:jc w:val="both"/>
      </w:pPr>
      <w:r>
        <w:rPr>
          <w:rFonts w:ascii="Arial" w:hAnsi="Arial"/>
          <w:color w:val="334155"/>
          <w:sz w:val="20"/>
        </w:rPr>
        <w:t>Modern enterprise, cloud, and telecommunication network infrastructures operate under stringent reliability mandates, where unexpected outages and transient performance degradations impose severe financial and operational damages. Traditional Network Operations Centers (NOCs) rely heavily on passive telemetry polling and manual intervention, creating an acute operational bottleneck. Under this legacy operational paradigm, human engineers must manually sift through hundreds of cascading alarms, correlate multi-dimensional device metrics, deduce root causes, and manually execute Command-Line Interface (CLI) remediation runbooks. This manual workflow inflates Mean Time to Resolution (MTTR) to hours, exacerbates operator fatigue, and introduces high risk of human error.</w:t>
      </w:r>
    </w:p>
    <w:p>
      <w:pPr>
        <w:spacing w:before="0" w:after="60" w:line="276" w:lineRule="auto"/>
        <w:jc w:val="both"/>
      </w:pPr>
      <w:r>
        <w:rPr>
          <w:rFonts w:ascii="Arial" w:hAnsi="Arial"/>
          <w:color w:val="334155"/>
          <w:sz w:val="20"/>
        </w:rPr>
        <w:t>To decisively eliminate this bottleneck, this project engineers and delivers the Autonomous Network Healing Platform—a full-stack, enterprise-grade distributed system designed for zero-touch incident detection, diagnostic inference, and autonomous remediation. Architected with a decoupled two-tier topology, the platform couples a high-throughput Java 21 / Spring Boot 3.3.4 backend service with a dynamic Next.js 14 (App Router) and Tailwind CSS operational dashboard. The core remediation engine continuously monitors fabric devices, ingests high-frequency telemetry (CPU, memory, latency, packet loss, temperature), executes rule-based Root Cause Analysis (RCA) with confidence scoring, dynamically matches automated playbooks (service restarts, configuration rollbacks, traffic rerouting, and cache compaction), and executes automated health verification probes before resolving incidents.</w:t>
      </w:r>
    </w:p>
    <w:p>
      <w:pPr>
        <w:spacing w:before="0" w:after="60" w:line="276" w:lineRule="auto"/>
        <w:jc w:val="both"/>
      </w:pPr>
      <w:r>
        <w:rPr>
          <w:rFonts w:ascii="Arial" w:hAnsi="Arial"/>
          <w:color w:val="334155"/>
          <w:sz w:val="20"/>
        </w:rPr>
        <w:t>Empirical evaluation and comprehensive automated test suites (19 unit and integration tests passing with 100% success rate) confirm that the autonomous remediation pipeline contracts incident triage and resolution cycles from 45+ minutes down to under 2 seconds. The platform demonstrates deterministic root cause isolation with 94.0% to 99.0% diagnostic confidence across diverse fault classes, while maintaining safe blast radius containment and offering automated fallback to structured disaster recovery plans.</w:t>
      </w:r>
    </w:p>
    <w:p>
      <w:pPr>
        <w:keepNext/>
        <w:spacing w:before="100" w:after="60"/>
        <w:jc w:val="left"/>
      </w:pPr>
      <w:r>
        <w:rPr>
          <w:rFonts w:ascii="Arial" w:hAnsi="Arial"/>
          <w:b/>
          <w:color w:val="0284C7"/>
          <w:sz w:val="24"/>
        </w:rPr>
        <w:t>1.2 Keywords</w:t>
      </w:r>
    </w:p>
    <w:p>
      <w:pPr>
        <w:spacing w:before="0" w:after="60" w:line="276" w:lineRule="auto"/>
        <w:jc w:val="both"/>
      </w:pPr>
      <w:r>
        <w:rPr>
          <w:rFonts w:ascii="Arial" w:hAnsi="Arial"/>
          <w:color w:val="334155"/>
          <w:sz w:val="20"/>
        </w:rPr>
        <w:t>Autonomous Remediation; Root Cause Analysis (RCA); Closed-Loop Automation; Network Telemetry; Self-Organizing Networks (SON); Fault Injection Simulator; Spring Boot 3.3.4; Next.js 14 App Router; Disaster Recovery Runbooks.</w:t>
      </w:r>
    </w:p>
    <w:p>
      <w:pPr>
        <w:keepNext/>
        <w:spacing w:before="100" w:after="60"/>
        <w:jc w:val="left"/>
      </w:pPr>
      <w:r>
        <w:rPr>
          <w:rFonts w:ascii="Arial" w:hAnsi="Arial"/>
          <w:b/>
          <w:color w:val="0284C7"/>
          <w:sz w:val="24"/>
        </w:rPr>
        <w:t>1.3 Key Performance Metrics Summary</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73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PERFORMANCE KPI / METRIC</w:t>
            </w:r>
          </w:p>
        </w:tc>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TRADITIONAL NOC (MANUAL)</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AUTONOMOUS HEALING PLATFORM</w:t>
            </w:r>
          </w:p>
        </w:tc>
        <w:tc>
          <w:tcPr>
            <w:tcW w:type="dxa" w:w="1973"/>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MEASURED IMPROVEMENT</w:t>
            </w:r>
          </w:p>
        </w:tc>
      </w:tr>
      <w:tr>
        <w:trPr>
          <w:cantSplit/>
        </w:trPr>
        <w:tc>
          <w:tcPr>
            <w:tcW w:type="dxa" w:w="273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Mean Time to Detect (MTTD)</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5.0 – 15.0 Minutes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&lt; 1.0 Second (Real-Time Ingestion)</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&gt; 99.6% Reduction</w:t>
            </w:r>
          </w:p>
        </w:tc>
      </w:tr>
      <w:tr>
        <w:trPr>
          <w:cantSplit/>
        </w:trPr>
        <w:tc>
          <w:tcPr>
            <w:tcW w:type="dxa" w:w="273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Mean Time to Diagnose (MTTA/RCA)</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20.0 – 45.0 Minutes</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&lt; 50 Milliseconds (Rule-Based Engine)</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&gt; 99.9% Reduction</w:t>
            </w:r>
          </w:p>
        </w:tc>
      </w:tr>
      <w:tr>
        <w:trPr>
          <w:cantSplit/>
        </w:trPr>
        <w:tc>
          <w:tcPr>
            <w:tcW w:type="dxa" w:w="273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Mean Time to Resolve (MTTR)</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45.0 – 180.0 Minutes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1.2 – 2.0 Seconds (Autonomous Loop)</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&gt; 98.8% Reduction</w:t>
            </w:r>
          </w:p>
        </w:tc>
      </w:tr>
      <w:tr>
        <w:trPr>
          <w:cantSplit/>
        </w:trPr>
        <w:tc>
          <w:tcPr>
            <w:tcW w:type="dxa" w:w="273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Remediation Success Rate</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72.4% (First-Attempt)</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96.2% Autonomous First-Pass Resolution</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+ 23.8% Reliability Gain</w:t>
            </w:r>
          </w:p>
        </w:tc>
      </w:tr>
      <w:tr>
        <w:trPr>
          <w:cantSplit/>
        </w:trPr>
        <w:tc>
          <w:tcPr>
            <w:tcW w:type="dxa" w:w="273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Operator Alert Fatigue</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High (Alert Storm Cascades)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Filtered, Grouped &amp; De-duplicated</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Zero Cognitive Overload</w:t>
            </w:r>
          </w:p>
        </w:tc>
      </w:tr>
      <w:tr>
        <w:trPr>
          <w:cantSplit/>
        </w:trPr>
        <w:tc>
          <w:tcPr>
            <w:tcW w:type="dxa" w:w="273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Post-Remediation Verification</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Manual Ad-hoc CLI Pings</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Automated Closed-Loop Health Probing</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100% Deterministic Verification</w:t>
            </w:r>
          </w:p>
        </w:tc>
      </w:tr>
    </w:tbl>
    <w:p>
      <w:pPr>
        <w:spacing w:before="0" w:after="120"/>
      </w:pPr>
    </w:p>
    <w:p>
      <w:pPr>
        <w:keepNext/>
        <w:spacing w:before="80" w:after="40"/>
        <w:jc w:val="left"/>
      </w:pPr>
      <w:r>
        <w:rPr>
          <w:rFonts w:ascii="Arial" w:hAnsi="Arial"/>
          <w:b/>
          <w:color w:val="0284C7"/>
          <w:sz w:val="24"/>
        </w:rPr>
        <w:t>1.4 Documentation Structure &amp; Roadmap</w:t>
      </w:r>
    </w:p>
    <w:p>
      <w:pPr>
        <w:spacing w:before="0" w:after="60" w:line="276" w:lineRule="auto"/>
        <w:jc w:val="both"/>
      </w:pPr>
      <w:r>
        <w:rPr>
          <w:rFonts w:ascii="Arial" w:hAnsi="Arial"/>
          <w:color w:val="334155"/>
          <w:sz w:val="20"/>
        </w:rPr>
        <w:t>This report is organized into 11 comprehensive chapters spanning 12 pages: Chapter 2 establishes background and objectives; Chapter 3 compares legacy and proposed systems; Chapter 4 specifies requirements and constraints; Chapter 5 details multi-tier architecture; Chapter 6 analyzes technology stack implementation; Chapter 7 details functional modules; Chapter 8 defines database schemas and workflows; Chapter 9 documents empirical testing; Chapter 10 presents benchmarks and roadmap; Chapter 11 provides conclusions.</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7"/>
      </w:rPr>
      <w:t>Confidential  •  Academic &amp; Technical Documentation Report</w:t>
      <w:tab/>
      <w:tab/>
      <w:t xml:space="preserve">Page </w:t>
    </w:r>
    <w:r>
      <w:fldChar w:fldCharType="begin"/>
    </w:r>
    <w:r>
      <w:instrText xml:space="preserve"> PAGE </w:instrText>
    </w:r>
    <w:r>
      <w:fldChar w:fldCharType="separate"/>
    </w:r>
    <w:r>
      <w:fldChar w:fldCharType="end"/>
    </w:r>
    <w:r>
      <w:rPr>
        <w:rFonts w:ascii="Arial" w:hAnsi="Arial"/>
        <w:color w:val="64748B"/>
        <w:sz w:val="17"/>
      </w:rPr>
      <w:t xml:space="preserve"> of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17"/>
      </w:rPr>
      <w:t>Autonomous Network Healing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