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120"/>
        <w:jc w:val="left"/>
      </w:pPr>
      <w:r>
        <w:rPr>
          <w:rFonts w:ascii="Arial" w:hAnsi="Arial"/>
          <w:b/>
          <w:color w:val="0F172A"/>
          <w:sz w:val="30"/>
        </w:rPr>
        <w:t>Chapter 2 — Introduction &amp; Problem Context</w:t>
      </w:r>
    </w:p>
    <w:p>
      <w:pPr>
        <w:keepNext/>
        <w:spacing w:before="40" w:after="60"/>
        <w:jc w:val="left"/>
      </w:pPr>
      <w:r>
        <w:rPr>
          <w:rFonts w:ascii="Arial" w:hAnsi="Arial"/>
          <w:b/>
          <w:color w:val="0284C7"/>
          <w:sz w:val="24"/>
        </w:rPr>
        <w:t>2.1 Background and Context</w:t>
      </w:r>
    </w:p>
    <w:p>
      <w:pPr>
        <w:spacing w:before="0" w:after="60" w:line="276" w:lineRule="auto"/>
        <w:jc w:val="both"/>
      </w:pPr>
      <w:r>
        <w:rPr>
          <w:rFonts w:ascii="Arial" w:hAnsi="Arial"/>
          <w:color w:val="334155"/>
          <w:sz w:val="20"/>
        </w:rPr>
        <w:t>Modern hyperscale data centers, 5G Open Radio Access Networks (O-RAN), enterprise Software-Defined Networks (SDN), and hybrid cloud topologies form the critical backbone of digital commerce and global communications. These architectures interconnect thousands of heterogeneous network devices—including Cisco ASR core routers, Juniper MX edge switches, Arista spine switches, Palo Alto firewalls, F5 BIG-IP load balancers, and Ericsson 5G vRAN gNodeB cells. Operating these complex fabrics produces millions of multi-dimensional telemetry data points per second, encompassing CPU utilization, buffer occupancy, transceiver temperatures, queue drop rates, and routing flaps.</w:t>
      </w:r>
    </w:p>
    <w:p>
      <w:pPr>
        <w:keepNext/>
        <w:spacing w:before="80" w:after="60"/>
        <w:jc w:val="left"/>
      </w:pPr>
      <w:r>
        <w:rPr>
          <w:rFonts w:ascii="Arial" w:hAnsi="Arial"/>
          <w:b/>
          <w:color w:val="0284C7"/>
          <w:sz w:val="24"/>
        </w:rPr>
        <w:t>2.2 Motivation &amp; Industry Drivers</w:t>
      </w:r>
    </w:p>
    <w:p>
      <w:pPr>
        <w:spacing w:before="0" w:after="60" w:line="276" w:lineRule="auto"/>
        <w:jc w:val="both"/>
      </w:pPr>
      <w:r>
        <w:rPr>
          <w:rFonts w:ascii="Arial" w:hAnsi="Arial"/>
          <w:color w:val="334155"/>
          <w:sz w:val="20"/>
        </w:rPr>
        <w:t>According to enterprise infrastructure research, the average cost of unplanned enterprise network downtime exceeds $300,000 per hour, with critical outages in financial services and telecommunications scaling into millions of dollars per incident. Over 80% of network downtime stems from human configuration mistakes, delayed anomaly detection, and prolonged manual diagnostic cycles. Furthermore, Tier-1 and Tier-2 NOC operators suffer from severe cognitive fatigue induced by 'alert storms'—where a single link failure triggers dozens of correlated downstream alarms. Transitioning from reactive human-in-the-loop troubleshooting to deterministic, closed-loop autonomous remediation is therefore a paramount operational imperative.</w:t>
      </w:r>
    </w:p>
    <w:p>
      <w:pPr>
        <w:keepNext/>
        <w:spacing w:before="80" w:after="60"/>
        <w:jc w:val="left"/>
      </w:pPr>
      <w:r>
        <w:rPr>
          <w:rFonts w:ascii="Arial" w:hAnsi="Arial"/>
          <w:b/>
          <w:color w:val="0284C7"/>
          <w:sz w:val="24"/>
        </w:rPr>
        <w:t>2.3 Problem Statement</w:t>
      </w:r>
    </w:p>
    <w:p>
      <w:pPr>
        <w:spacing w:before="0" w:after="60" w:line="276" w:lineRule="auto"/>
        <w:jc w:val="both"/>
      </w:pPr>
      <w:r>
        <w:rPr>
          <w:rFonts w:ascii="Arial" w:hAnsi="Arial"/>
          <w:color w:val="334155"/>
          <w:sz w:val="20"/>
        </w:rPr>
        <w:t>Conventional monitoring tools operate as passive alerting conduits rather than active remediation systems. When a network anomaly occurs, the existing operational paradigm requires human engineers to manually: (1) observe the alarm notification, (2) correlate logs across disparate nodes, (3) deduce the underlying root cause, (4) manually execute mitigation scripts via SSH/CLI, and (5) manually verify whether the network stabilized. This process introduces substantial diagnostic latency, error-prone manual commands, and complete absence of standardized verification loops. There is a pressing necessity for an integrated platform that autonomously binds high-frequency telemetry detection, intelligent diagnostic inferencing, deterministic playbook remediation, and automated fallback disaster recovery into a unified pipeline.</w:t>
      </w:r>
    </w:p>
    <w:p>
      <w:pPr>
        <w:keepNext/>
        <w:spacing w:before="80" w:after="60"/>
        <w:jc w:val="left"/>
      </w:pPr>
      <w:r>
        <w:rPr>
          <w:rFonts w:ascii="Arial" w:hAnsi="Arial"/>
          <w:b/>
          <w:color w:val="0284C7"/>
          <w:sz w:val="24"/>
        </w:rPr>
        <w:t>2.4 Project Objectives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Real-Time Telemetry Ingestion &amp; Topology Management: </w:t>
      </w:r>
      <w:r>
        <w:rPr>
          <w:rFonts w:ascii="Arial" w:hAnsi="Arial"/>
          <w:color w:val="334155"/>
          <w:sz w:val="20"/>
        </w:rPr>
        <w:t>Continuously track multi-vendor device health scores, compute loads, and interface drop rates across heterogeneous hardware classes.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Multi-Dimensional Rule-Based RCA Inference: </w:t>
      </w:r>
      <w:r>
        <w:rPr>
          <w:rFonts w:ascii="Arial" w:hAnsi="Arial"/>
          <w:color w:val="334155"/>
          <w:sz w:val="20"/>
        </w:rPr>
        <w:t>Analyze fault telemetry to determine exact root cause categories, confidence percentages (94-99%), risk scores, and blast radiuses.</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Closed-Loop Autonomous Playbook Execution: </w:t>
      </w:r>
      <w:r>
        <w:rPr>
          <w:rFonts w:ascii="Arial" w:hAnsi="Arial"/>
          <w:color w:val="334155"/>
          <w:sz w:val="20"/>
        </w:rPr>
        <w:t>Orchestrate targeted remediation actions (service restart, config rollback, traffic diversion, cache flush) without human delay.</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Automated Post-Remediation Health Verification: </w:t>
      </w:r>
      <w:r>
        <w:rPr>
          <w:rFonts w:ascii="Arial" w:hAnsi="Arial"/>
          <w:color w:val="334155"/>
          <w:sz w:val="20"/>
        </w:rPr>
        <w:t>Probe telemetry metrics post-action; automatically resolve alarms if healthy, or escalate to disaster recovery if anomalies persist.</w:t>
      </w:r>
    </w:p>
    <w:p>
      <w:pPr>
        <w:spacing w:before="0" w:after="40" w:line="276" w:lineRule="auto"/>
        <w:ind w:left="360"/>
        <w:jc w:val="both"/>
      </w:pPr>
      <w:r>
        <w:rPr>
          <w:rFonts w:ascii="Arial" w:hAnsi="Arial"/>
          <w:b/>
          <w:color w:val="0284C7"/>
          <w:sz w:val="20"/>
        </w:rPr>
        <w:t xml:space="preserve">• </w:t>
      </w:r>
      <w:r>
        <w:rPr>
          <w:rFonts w:ascii="Arial" w:hAnsi="Arial"/>
          <w:b/>
          <w:color w:val="0F172A"/>
          <w:sz w:val="20"/>
        </w:rPr>
        <w:t xml:space="preserve">Interactive Fault &amp; Traffic Microburst Simulator: </w:t>
      </w:r>
      <w:r>
        <w:rPr>
          <w:rFonts w:ascii="Arial" w:hAnsi="Arial"/>
          <w:color w:val="334155"/>
          <w:sz w:val="20"/>
        </w:rPr>
        <w:t>Provide a full-scale synthetic fault injection testbed to empirically validate self-healing behavior under controlled failure scenarios.</w:t>
      </w:r>
    </w:p>
    <w:p>
      <w:pPr>
        <w:keepNext/>
        <w:spacing w:before="80" w:after="60"/>
        <w:jc w:val="left"/>
      </w:pPr>
      <w:r>
        <w:rPr>
          <w:rFonts w:ascii="Arial" w:hAnsi="Arial"/>
          <w:b/>
          <w:color w:val="0284C7"/>
          <w:sz w:val="24"/>
        </w:rPr>
        <w:t>2.5 Scope of the Project</w:t>
      </w:r>
    </w:p>
    <w:p>
      <w:pPr>
        <w:spacing w:before="0" w:after="60" w:line="276" w:lineRule="auto"/>
        <w:jc w:val="both"/>
      </w:pPr>
      <w:r>
        <w:rPr>
          <w:rFonts w:ascii="Arial" w:hAnsi="Arial"/>
          <w:color w:val="334155"/>
          <w:sz w:val="20"/>
        </w:rPr>
        <w:t>The scope encompasses a production-grade full-stack architecture comprising a modular Spring Boot 3.3.4 REST API core, a normalized MySQL 8/9 relational storage tier, and an interactive Next.js 14 command center. The system covers automated triage across 6 major fault categories (CPU Overload, Memory Exhaustion, Packet Loss, High Latency, Service Down, Configuration Drift). Physical hardware driver invocation is safely abstracted through an idempotent simulation execution layer with realistic device state mutation.</w:t>
      </w:r>
    </w:p>
    <w:p>
      <w:pPr>
        <w:keepNext/>
        <w:spacing w:before="80" w:after="60"/>
        <w:jc w:val="left"/>
      </w:pPr>
      <w:r>
        <w:rPr>
          <w:rFonts w:ascii="Arial" w:hAnsi="Arial"/>
          <w:b/>
          <w:color w:val="0284C7"/>
          <w:sz w:val="24"/>
        </w:rPr>
        <w:t>2.6 Intended Stakeholders &amp; Users</w:t>
      </w:r>
    </w:p>
    <w:p>
      <w:pPr>
        <w:spacing w:before="0" w:after="60" w:line="276" w:lineRule="auto"/>
        <w:jc w:val="both"/>
      </w:pPr>
      <w:r>
        <w:rPr>
          <w:rFonts w:ascii="Arial" w:hAnsi="Arial"/>
          <w:color w:val="334155"/>
          <w:sz w:val="20"/>
        </w:rPr>
        <w:t>Primary stakeholders include: (1) NOC Tier-1 Operators requiring automated alarm deduplication; (2) Site Reliability Engineers (SREs) managing SLA compliance; (3) Cloud Infrastructure Architects enforcing resilient design; and (4) Telecom Network Administrators.</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4748B"/>
        <w:sz w:val="17"/>
      </w:rPr>
      <w:t>Confidential  •  Academic &amp; Technical Documentation Report</w:t>
      <w:tab/>
      <w:tab/>
      <w:t xml:space="preserve">Page </w:t>
    </w:r>
    <w:r>
      <w:fldChar w:fldCharType="begin"/>
    </w:r>
    <w:r>
      <w:instrText xml:space="preserve"> PAGE </w:instrText>
    </w:r>
    <w:r>
      <w:fldChar w:fldCharType="separate"/>
    </w:r>
    <w:r>
      <w:fldChar w:fldCharType="end"/>
    </w:r>
    <w:r>
      <w:rPr>
        <w:rFonts w:ascii="Arial" w:hAnsi="Arial"/>
        <w:color w:val="64748B"/>
        <w:sz w:val="17"/>
      </w:rPr>
      <w:t xml:space="preserve"> of </w:t>
    </w:r>
    <w:r>
      <w:fldChar w:fldCharType="begin"/>
    </w:r>
    <w:r>
      <w:instrText xml:space="preserve"> NUMPAGES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color w:val="64748B"/>
        <w:sz w:val="17"/>
      </w:rPr>
      <w:t>Autonomous Network Healing Platform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