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20"/>
        <w:jc w:val="left"/>
      </w:pPr>
      <w:r>
        <w:rPr>
          <w:rFonts w:ascii="Arial" w:hAnsi="Arial"/>
          <w:b/>
          <w:color w:val="0F172A"/>
          <w:sz w:val="30"/>
        </w:rPr>
        <w:t>Chapter 3 — Existing System vs. Proposed Autonomous Solution</w:t>
      </w:r>
    </w:p>
    <w:p>
      <w:pPr>
        <w:keepNext/>
        <w:spacing w:before="40" w:after="60"/>
        <w:jc w:val="left"/>
      </w:pPr>
      <w:r>
        <w:rPr>
          <w:rFonts w:ascii="Arial" w:hAnsi="Arial"/>
          <w:b/>
          <w:color w:val="0284C7"/>
          <w:sz w:val="24"/>
        </w:rPr>
        <w:t>3.1 Traditional Network Operations Architecture</w:t>
      </w:r>
    </w:p>
    <w:p>
      <w:pPr>
        <w:spacing w:before="0" w:after="60" w:line="276" w:lineRule="auto"/>
        <w:jc w:val="both"/>
      </w:pPr>
      <w:r>
        <w:rPr>
          <w:rFonts w:ascii="Arial" w:hAnsi="Arial"/>
          <w:color w:val="334155"/>
          <w:sz w:val="20"/>
        </w:rPr>
        <w:t>In traditional enterprise environments, network management relies on a fragmented assembly of disparate point tools. SNMP polling engines (e.g., Nagios, Zabbix, PRTG) query managed nodes at coarse intervals (typically 60 to 300 seconds). When a threshold is breached, the monitoring tool generates an email or SNMP trap, which is ingested by an IT Service Management (ITSM) ticketing platform (e.g., ServiceNow, Jira Service Management). From this point, an on-call human operator is paged, who manually opens terminal sessions, executes diagnostic CLI commands (e.g., traceroute, show ip bgp summary, show system processes), reads logs, consults static runbooks, and manually executes configuration changes or process reboots.</w:t>
      </w:r>
    </w:p>
    <w:p>
      <w:pPr>
        <w:keepNext/>
        <w:spacing w:before="80" w:after="60"/>
        <w:jc w:val="left"/>
      </w:pPr>
      <w:r>
        <w:rPr>
          <w:rFonts w:ascii="Arial" w:hAnsi="Arial"/>
          <w:b/>
          <w:color w:val="0284C7"/>
          <w:sz w:val="24"/>
        </w:rPr>
        <w:t>3.2 Critical Shortcomings &amp; Failure Modes of Legacy Systems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Severe Latency &amp; High MTTR: </w:t>
      </w:r>
      <w:r>
        <w:rPr>
          <w:rFonts w:ascii="Arial" w:hAnsi="Arial"/>
          <w:color w:val="334155"/>
          <w:sz w:val="20"/>
        </w:rPr>
        <w:t>The elapsed time from fault inception to manual ticket assignment and human login frequently exceeds 30 to 60 minutes, risking SLA breaches.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Alert Storms &amp; Cascading Noise: </w:t>
      </w:r>
      <w:r>
        <w:rPr>
          <w:rFonts w:ascii="Arial" w:hAnsi="Arial"/>
          <w:color w:val="334155"/>
          <w:sz w:val="20"/>
        </w:rPr>
        <w:t>A single core switch failure triggers dozens of correlated alarms from downstream nodes, overwhelming human operators with repetitive alerts.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Vulnerability to Human Error: </w:t>
      </w:r>
      <w:r>
        <w:rPr>
          <w:rFonts w:ascii="Arial" w:hAnsi="Arial"/>
          <w:color w:val="334155"/>
          <w:sz w:val="20"/>
        </w:rPr>
        <w:t>Under intense pressure during major outages, human engineers executing manual CLI commands are prone to syntax mistakes or unintended link shutdowns.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Absence of Verification Loops: </w:t>
      </w:r>
      <w:r>
        <w:rPr>
          <w:rFonts w:ascii="Arial" w:hAnsi="Arial"/>
          <w:color w:val="334155"/>
          <w:sz w:val="20"/>
        </w:rPr>
        <w:t>Legacy systems close tickets based on operator assumption rather than systematic, programmatic verification of device health recovery.</w:t>
      </w:r>
    </w:p>
    <w:p>
      <w:pPr>
        <w:keepNext/>
        <w:spacing w:before="80" w:after="60"/>
        <w:jc w:val="left"/>
      </w:pPr>
      <w:r>
        <w:rPr>
          <w:rFonts w:ascii="Arial" w:hAnsi="Arial"/>
          <w:b/>
          <w:color w:val="0284C7"/>
          <w:sz w:val="24"/>
        </w:rPr>
        <w:t>3.3 The Proposed Autonomous Self-Healing Solution</w:t>
      </w:r>
    </w:p>
    <w:p>
      <w:pPr>
        <w:spacing w:before="0" w:after="60" w:line="276" w:lineRule="auto"/>
        <w:jc w:val="both"/>
      </w:pPr>
      <w:r>
        <w:rPr>
          <w:rFonts w:ascii="Arial" w:hAnsi="Arial"/>
          <w:color w:val="334155"/>
          <w:sz w:val="20"/>
        </w:rPr>
        <w:t>The Autonomous Network Healing Platform fundamentally replaces manual triage with a deterministic closed-loop engineering architecture. The platform continuously ingests high-frequency telemetry, evaluates multi-metric anomalies via a rule-based inference engine, instantly identifies the root cause with quantified confidence scores, executes targeted safe remediation playbooks, and performs automated post-action health verification.</w:t>
      </w:r>
    </w:p>
    <w:p>
      <w:pPr>
        <w:keepNext/>
        <w:spacing w:before="80" w:after="60"/>
        <w:jc w:val="left"/>
      </w:pPr>
      <w:r>
        <w:rPr>
          <w:rFonts w:ascii="Arial" w:hAnsi="Arial"/>
          <w:b/>
          <w:color w:val="0284C7"/>
          <w:sz w:val="24"/>
        </w:rPr>
        <w:t>3.4 Comprehensive Architectural Comparison Matrix</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01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DIMENSION</w:t>
            </w:r>
          </w:p>
        </w:tc>
        <w:tc>
          <w:tcPr>
            <w:tcW w:type="dxa" w:w="230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TRADITIONAL NOC (LEGACY)</w:t>
            </w:r>
          </w:p>
        </w:tc>
        <w:tc>
          <w:tcPr>
            <w:tcW w:type="dxa" w:w="2592"/>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AUTONOMOUS NETWORK HEALING PLATFORM</w:t>
            </w:r>
          </w:p>
        </w:tc>
        <w:tc>
          <w:tcPr>
            <w:tcW w:type="dxa" w:w="2117"/>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ARCHITECTURAL BENEFIT</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Detection Mechanism</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Coarse SNMP Polling (1-5 min intervals)</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Continuous Real-Time Telemetry Streaming</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Zero latency detection; immediate anomaly awareness</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Incident Triage</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Manual human ticket assignment &amp; queue wait</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Automated Event-Driven Pipeline Trigger</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Immediate sub-second pipeline activation</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Root Cause Analysis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Ad-hoc human CLI log inspection &amp; guesswork</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Rule-Based Inference Engine (94-99% Confidence)</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Deterministic, repeatable diagnostic accuracy</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Remediation Action</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Manual SSH/CLI command execution by operator</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Automated Playbook Execution Engine</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Zero human delay; zero command syntax errors</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Verification Loop</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Subjective operator spot-checking</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Programmatic Multi-Metric Post-Action Probing</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Guaranteed verification before alarm resolution</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Disaster Recovery</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Manual escalation to senior engineering tier</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Automated Fallback to Incident-Linked Runbooks</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Rapid, structured containment of complex failures</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Fault Simulation</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External staging testbeds (rarely available)</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Integrated Synthetic Fault &amp; Traffic Burst Testbed</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Safe on-demand verification of healing behavior</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Mean Time to Resolve</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45 to 180 Minutes Average</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Under 2.0 Seconds for Standard Playbooks</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&gt; 98% reduction in network downtime</w:t>
            </w:r>
          </w:p>
        </w:tc>
      </w:tr>
    </w:tbl>
    <w:p>
      <w:pPr>
        <w:spacing w:before="0" w:after="120"/>
      </w:pPr>
    </w:p>
    <w:p>
      <w:pPr>
        <w:keepNext/>
        <w:spacing w:before="80" w:after="60"/>
        <w:jc w:val="left"/>
      </w:pPr>
      <w:r>
        <w:rPr>
          <w:rFonts w:ascii="Arial" w:hAnsi="Arial"/>
          <w:b/>
          <w:color w:val="0284C7"/>
          <w:sz w:val="24"/>
        </w:rPr>
        <w:t>3.5 Feasibility Analysis &amp; Operational Impact</w:t>
      </w:r>
    </w:p>
    <w:p>
      <w:pPr>
        <w:spacing w:before="0" w:after="60" w:line="276" w:lineRule="auto"/>
        <w:jc w:val="both"/>
      </w:pPr>
      <w:r>
        <w:rPr>
          <w:rFonts w:ascii="Arial" w:hAnsi="Arial"/>
          <w:color w:val="334155"/>
          <w:sz w:val="20"/>
        </w:rPr>
        <w:t>Technical feasibility is established through modern lightweight micro-frameworks (Spring Boot 3.3.4, Hibernate 6.5, Next.js 14) requiring minimal compute footprints. Operational feasibility is demonstrated through safe simulation layers and blast-radius bounding, preventing unintended cascading failures. Economically, automating Tier-1 and Tier-2 network incident remediation yields immense ROI by reclaiming thousands of engineering hours annually and drastically mitigating financial liabilities associated with critical network downtime.</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4748B"/>
        <w:sz w:val="17"/>
      </w:rPr>
      <w:t>Confidential  •  Academic &amp; Technical Documentation Report</w:t>
      <w:tab/>
      <w:tab/>
      <w:t xml:space="preserve">Page </w:t>
    </w:r>
    <w:r>
      <w:fldChar w:fldCharType="begin"/>
    </w:r>
    <w:r>
      <w:instrText xml:space="preserve"> PAGE </w:instrText>
    </w:r>
    <w:r>
      <w:fldChar w:fldCharType="separate"/>
    </w:r>
    <w:r>
      <w:fldChar w:fldCharType="end"/>
    </w:r>
    <w:r>
      <w:rPr>
        <w:rFonts w:ascii="Arial" w:hAnsi="Arial"/>
        <w:color w:val="64748B"/>
        <w:sz w:val="17"/>
      </w:rPr>
      <w:t xml:space="preserve"> of </w:t>
    </w:r>
    <w:r>
      <w:fldChar w:fldCharType="begin"/>
    </w:r>
    <w:r>
      <w:instrText xml:space="preserve"> NUMPAGES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color w:val="64748B"/>
        <w:sz w:val="17"/>
      </w:rPr>
      <w:t>Autonomous Network Healing Platform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