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A365D"/>
          <w:sz w:val="52"/>
        </w:rPr>
        <w:t>MedSentinel Healthcare Platform</w:t>
      </w:r>
    </w:p>
    <w:p>
      <w:pPr>
        <w:spacing w:after="480"/>
        <w:jc w:val="center"/>
      </w:pPr>
      <w:r>
        <w:rPr>
          <w:color w:val="4A5568"/>
          <w:sz w:val="26"/>
        </w:rPr>
        <w:t>Comprehensive System Architecture &amp; Agentic AI Technical Design Document</w:t>
        <w:br/>
        <w:t>Version 2.3.0 | Enterprise Production Specification</w:t>
      </w:r>
    </w:p>
    <w:p>
      <w:pPr>
        <w:spacing w:after="240"/>
      </w:pPr>
    </w:p>
    <w:tbl>
      <w:tblPr>
        <w:tblW w:type="auto" w:w="0"/>
        <w:jc w:val="center"/>
        <w:tblLook w:firstColumn="1" w:firstRow="1" w:lastColumn="0" w:lastRow="0" w:noHBand="0" w:noVBand="1" w:val="04A0"/>
      </w:tblPr>
      <w:tblGrid>
        <w:gridCol w:w="4680"/>
        <w:gridCol w:w="4680"/>
      </w:tblGrid>
      <w:tr>
        <w:tc>
          <w:tcPr>
            <w:tcW w:type="dxa" w:w="4680"/>
            <w:shd w:fill="EDF2F7"/>
            <w:tcMar>
              <w:top w:w="80" w:type="dxa"/>
              <w:bottom w:w="80" w:type="dxa"/>
              <w:left w:w="120" w:type="dxa"/>
              <w:right w:w="120" w:type="dxa"/>
            </w:tcMar>
          </w:tcPr>
          <w:p>
            <w:r>
              <w:rPr>
                <w:b/>
                <w:sz w:val="19"/>
              </w:rPr>
              <w:t>Document Type</w:t>
            </w:r>
          </w:p>
        </w:tc>
        <w:tc>
          <w:tcPr>
            <w:tcW w:type="dxa" w:w="4680"/>
            <w:tcMar>
              <w:top w:w="80" w:type="dxa"/>
              <w:bottom w:w="80" w:type="dxa"/>
              <w:left w:w="120" w:type="dxa"/>
              <w:right w:w="120" w:type="dxa"/>
            </w:tcMar>
          </w:tcPr>
          <w:p>
            <w:r>
              <w:rPr>
                <w:sz w:val="19"/>
              </w:rPr>
              <w:t>System Design Document (SDD) / Technical Specification</w:t>
            </w:r>
          </w:p>
        </w:tc>
      </w:tr>
      <w:tr>
        <w:tc>
          <w:tcPr>
            <w:tcW w:type="dxa" w:w="4680"/>
            <w:shd w:fill="EDF2F7"/>
            <w:tcMar>
              <w:top w:w="80" w:type="dxa"/>
              <w:bottom w:w="80" w:type="dxa"/>
              <w:left w:w="120" w:type="dxa"/>
              <w:right w:w="120" w:type="dxa"/>
            </w:tcMar>
          </w:tcPr>
          <w:p>
            <w:r>
              <w:rPr>
                <w:b/>
                <w:sz w:val="19"/>
              </w:rPr>
              <w:t>Target Architecture</w:t>
            </w:r>
          </w:p>
        </w:tc>
        <w:tc>
          <w:tcPr>
            <w:tcW w:type="dxa" w:w="4680"/>
            <w:tcMar>
              <w:top w:w="80" w:type="dxa"/>
              <w:bottom w:w="80" w:type="dxa"/>
              <w:left w:w="120" w:type="dxa"/>
              <w:right w:w="120" w:type="dxa"/>
            </w:tcMar>
          </w:tcPr>
          <w:p>
            <w:r>
              <w:rPr>
                <w:sz w:val="19"/>
              </w:rPr>
              <w:t>Full-Stack Distributed System with Agentic AI &amp; RAG Orchestration</w:t>
            </w:r>
          </w:p>
        </w:tc>
      </w:tr>
      <w:tr>
        <w:tc>
          <w:tcPr>
            <w:tcW w:type="dxa" w:w="4680"/>
            <w:shd w:fill="EDF2F7"/>
            <w:tcMar>
              <w:top w:w="80" w:type="dxa"/>
              <w:bottom w:w="80" w:type="dxa"/>
              <w:left w:w="120" w:type="dxa"/>
              <w:right w:w="120" w:type="dxa"/>
            </w:tcMar>
          </w:tcPr>
          <w:p>
            <w:r>
              <w:rPr>
                <w:b/>
                <w:sz w:val="19"/>
              </w:rPr>
              <w:t>Technology Stack</w:t>
            </w:r>
          </w:p>
        </w:tc>
        <w:tc>
          <w:tcPr>
            <w:tcW w:type="dxa" w:w="4680"/>
            <w:tcMar>
              <w:top w:w="80" w:type="dxa"/>
              <w:bottom w:w="80" w:type="dxa"/>
              <w:left w:w="120" w:type="dxa"/>
              <w:right w:w="120" w:type="dxa"/>
            </w:tcMar>
          </w:tcPr>
          <w:p>
            <w:r>
              <w:rPr>
                <w:sz w:val="19"/>
              </w:rPr>
              <w:t>Next.js 14, FastAPI (Python 3.10+), MySQL 8.0, Qdrant Vector DB, Gemini AI</w:t>
            </w:r>
          </w:p>
        </w:tc>
      </w:tr>
      <w:tr>
        <w:tc>
          <w:tcPr>
            <w:tcW w:type="dxa" w:w="4680"/>
            <w:shd w:fill="EDF2F7"/>
            <w:tcMar>
              <w:top w:w="80" w:type="dxa"/>
              <w:bottom w:w="80" w:type="dxa"/>
              <w:left w:w="120" w:type="dxa"/>
              <w:right w:w="120" w:type="dxa"/>
            </w:tcMar>
          </w:tcPr>
          <w:p>
            <w:r>
              <w:rPr>
                <w:b/>
                <w:sz w:val="19"/>
              </w:rPr>
              <w:t>Security Standard</w:t>
            </w:r>
          </w:p>
        </w:tc>
        <w:tc>
          <w:tcPr>
            <w:tcW w:type="dxa" w:w="4680"/>
            <w:tcMar>
              <w:top w:w="80" w:type="dxa"/>
              <w:bottom w:w="80" w:type="dxa"/>
              <w:left w:w="120" w:type="dxa"/>
              <w:right w:w="120" w:type="dxa"/>
            </w:tcMar>
          </w:tcPr>
          <w:p>
            <w:r>
              <w:rPr>
                <w:sz w:val="19"/>
              </w:rPr>
              <w:t>HIPAA Aligned, Role-Based Access Control (RBAC), SHA-256 Vault Signatures</w:t>
            </w:r>
          </w:p>
        </w:tc>
      </w:tr>
    </w:tbl>
    <w:p>
      <w:r>
        <w:br w:type="page"/>
      </w:r>
    </w:p>
    <w:p>
      <w:pPr>
        <w:pStyle w:val="Heading1"/>
        <w:spacing w:before="360" w:after="120"/>
      </w:pPr>
      <w:r>
        <w:rPr>
          <w:b/>
          <w:color w:val="1A365D"/>
          <w:sz w:val="36"/>
        </w:rPr>
        <w:t>1. Executive Summary &amp; Problem Statement</w:t>
      </w:r>
    </w:p>
    <w:p>
      <w:pPr>
        <w:spacing w:after="160"/>
      </w:pPr>
      <w:r>
        <w:t>MedSentinel is an enterprise-grade intelligent healthcare orchestration platform designed to bridge the structural disconnects between patients, healthcare providers, and insurance underwriters. Modern healthcare operations suffer from fragmented medical records, slow insurance pre-authorization, lack of transparency in hospital discovery, and high administrative overhead. MedSentinel resolves these bottlenecks through an autonomous Multi-Agent AI architecture integrated with private Retrieval-Augmented Generation (RAG), secure document verification, and a unified Super Admin operational dashboard.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40" w:after="40"/>
            </w:pPr>
            <w:r>
              <w:rPr>
                <w:b/>
                <w:color w:val="2563EB"/>
              </w:rPr>
              <w:t xml:space="preserve">[KEY VALUE PROPOSITION] </w:t>
            </w:r>
            <w:r>
              <w:rPr>
                <w:color w:val="1E293B"/>
                <w:sz w:val="20"/>
              </w:rPr>
              <w:t>MedSentinel delivers a 70% reduction in claim processing latency, sub-second semantic hospital matching, autonomous lab report risk scoring, and zero-leakage patient data privacy with private LLM deployment options.</w:t>
            </w:r>
          </w:p>
        </w:tc>
      </w:tr>
    </w:tbl>
    <w:p>
      <w:pPr>
        <w:spacing w:after="80"/>
      </w:pPr>
    </w:p>
    <w:p>
      <w:pPr>
        <w:pStyle w:val="Heading1"/>
        <w:spacing w:before="360" w:after="120"/>
      </w:pPr>
      <w:r>
        <w:rPr>
          <w:b/>
          <w:color w:val="1A365D"/>
          <w:sz w:val="36"/>
        </w:rPr>
        <w:t>2. High-Level System Architecture</w:t>
      </w:r>
    </w:p>
    <w:p>
      <w:r>
        <w:t>The system follows a multi-tier microservices-ready distributed architecture comprising presentation, API gateway/routing, multi-agent intelligence, business logic, and dual-database persistence layers.</w:t>
      </w:r>
    </w:p>
    <w:p>
      <w:pPr>
        <w:spacing w:before="120" w:after="120"/>
      </w:pPr>
      <w:r>
        <w:rPr>
          <w:rFonts w:ascii="Courier New" w:hAnsi="Courier New"/>
          <w:sz w:val="16"/>
        </w:rPr>
        <w:t>+---------------------------------------------------------------------------------------+</w:t>
        <w:br/>
        <w:t>|                              PRESENTATION LAYER (Next.js 14)                          |</w:t>
        <w:br/>
        <w:t>|  - Patient Portal (Search, Medical Vault, Health Score, Appointments, Claims Tracker) |</w:t>
        <w:br/>
        <w:t>|  - Enterprise Admin Dashboard (User Mgmt, Claims Approval, Analytics, AI Audit Log)   |</w:t>
        <w:br/>
        <w:t>|  - Real-Time SSE Agent Workflow Visualizer (Live DAG Step Monitoring &amp; Escalations)   |</w:t>
        <w:br/>
        <w:t>+------------------------------------------+--------------------------------------------+</w:t>
        <w:br/>
        <w:t xml:space="preserve">                                           | HTTPS / JSON &amp; Server-Sent Events (SSE)</w:t>
        <w:br/>
        <w:t>+------------------------------------------v--------------------------------------------+</w:t>
        <w:br/>
        <w:t>|                         API GATEWAY &amp; SECURITY LAYER (FastAPI)                        |</w:t>
        <w:br/>
        <w:t>|  - JWT Authentication &amp; Refresh Token Rotation (HS256)                                |</w:t>
        <w:br/>
        <w:t>|  - RBAC Middleware (USER, HOSPITAL_ADMIN, INSURANCE_ADMIN, SUPER_ADMIN)                |</w:t>
        <w:br/>
        <w:t>|  - Rate Limiting, Request Auditing &amp; CORS Middleware                                  |</w:t>
        <w:br/>
        <w:t>+------------------------------------------+--------------------------------------------+</w:t>
        <w:br/>
        <w:t xml:space="preserve">                                           |</w:t>
        <w:br/>
        <w:t>+------------------------------------------v--------------------------------------------+</w:t>
        <w:br/>
        <w:t>|                      AGENTIC AI &amp; ML INTELLIGENCE SUBSYSTEM                           |</w:t>
        <w:br/>
        <w:t>|  - Workflow Orchestrator (LangGraph / Directed Acyclic Graph State Machine)           |</w:t>
        <w:br/>
        <w:t>|  - 9 Autonomous Specialized Agents:                                                   |</w:t>
        <w:br/>
        <w:t>|    * PatientIntakeAgent        * LabAnalysisAgent          * RiskPredictionAgent     |</w:t>
        <w:br/>
        <w:t>|    * OCRAgent                  * SymptomClinicalAgent      * MedicalRAGAgent         |</w:t>
        <w:br/>
        <w:t>|    * DataValidationAgent       * HospitalMatchingAgent     * VerificationReportAgent |</w:t>
        <w:br/>
        <w:t>|  - Hybrid Vector RAG Engine (Qdrant Dense Embeddings + Private LLM Inference)         |</w:t>
        <w:br/>
        <w:t>+-------------------+-----------------------------------------------+-------------------+</w:t>
        <w:br/>
        <w:t xml:space="preserve">                    |                                               |</w:t>
        <w:br/>
        <w:t>+-------------------v-------------------+       +-------------------v-------------------+</w:t>
        <w:br/>
        <w:t>|      RELATIONAL STORAGE (MySQL 8.0)   |       |      VECTOR STORE (Qdrant 6333)       |</w:t>
        <w:br/>
        <w:t>|  - Users, Roles, Audit Logs           |       |  - 768-dim Dense Knowledge Embeddings |</w:t>
        <w:br/>
        <w:t>|  - Hospitals, Doctors, Media &amp; Rates  |       |  - Medical Guidelines, Insurance Rules|</w:t>
        <w:br/>
        <w:t>|  - Claims, Policies, Appointments     |       |  - Treatment Protocols &amp; Schema Docs  |</w:t>
        <w:br/>
        <w:t>|  - Medical Vault Records &amp; Hashes     |       |  - Fast Approximate Nearest Neighbor  |</w:t>
        <w:br/>
        <w:t>+---------------------------------------+       +---------------------------------------+</w:t>
      </w:r>
    </w:p>
    <w:p>
      <w:pPr>
        <w:pStyle w:val="Heading1"/>
        <w:spacing w:before="360" w:after="120"/>
      </w:pPr>
      <w:r>
        <w:rPr>
          <w:b/>
          <w:color w:val="1A365D"/>
          <w:sz w:val="36"/>
        </w:rPr>
        <w:t>3. Detailed Component Tier Breakdown</w:t>
      </w:r>
    </w:p>
    <w:p>
      <w:pPr>
        <w:pStyle w:val="Heading2"/>
        <w:spacing w:before="280" w:after="80"/>
      </w:pPr>
      <w:r>
        <w:rPr>
          <w:b/>
          <w:color w:val="2B6CB0"/>
          <w:sz w:val="28"/>
        </w:rPr>
        <w:t>3.1 Frontend Presentation Tier (Next.js 14 &amp; TailwindCSS)</w:t>
      </w:r>
    </w:p>
    <w:p>
      <w:r>
        <w:t>Built on React 18 and Next.js 14 App Router, the frontend delivers instant server-rendered performance and rich client-side interactivity across 33 dedicated routes:</w:t>
      </w:r>
    </w:p>
    <w:p>
      <w:r>
        <w:t>* Patient Portal: Fast multi-criteria hospital search by geography and procedure, interactive insurance plan comparison, appointment booking calendar, and medical vault with cryptographic file hashing.</w:t>
      </w:r>
    </w:p>
    <w:p>
      <w:r>
        <w:t>* Enterprise Super Admin: Real-time analytics charts, hospital media gallery manager, automated claim adjudication tools, and knowledge base vector management.</w:t>
      </w:r>
    </w:p>
    <w:p>
      <w:r>
        <w:t>* Agent Workflow Visualizer: Live reactive SSE DAG graph execution tracker displaying agent state transitions, confidence scores, and human-in-the-loop escalation approval panels.</w:t>
      </w:r>
    </w:p>
    <w:p>
      <w:pPr>
        <w:pStyle w:val="Heading2"/>
        <w:spacing w:before="280" w:after="80"/>
      </w:pPr>
      <w:r>
        <w:rPr>
          <w:b/>
          <w:color w:val="2B6CB0"/>
          <w:sz w:val="28"/>
        </w:rPr>
        <w:t>3.2 Backend &amp; API Gateway Tier (FastAPI &amp; Python)</w:t>
      </w:r>
    </w:p>
    <w:p>
      <w:r>
        <w:t>FastAPI provides asynchronous, high-throughput REST and streaming SSE endpoints. It utilizes Pydantic v2 schemas for strict payload validation, SQLAlchemy 2.0 ORM with connection pooling for transactional safety, and custom middleware for security and audit logging.</w:t>
      </w:r>
    </w:p>
    <w:p>
      <w:pPr>
        <w:pStyle w:val="Heading2"/>
        <w:spacing w:before="280" w:after="80"/>
      </w:pPr>
      <w:r>
        <w:rPr>
          <w:b/>
          <w:color w:val="2B6CB0"/>
          <w:sz w:val="28"/>
        </w:rPr>
        <w:t>3.3 Autonomous Agentic AI Orchestration Subsystem</w:t>
      </w:r>
    </w:p>
    <w:p>
      <w:r>
        <w:t>The agentic framework leverages a stateful DAG architecture where individual specialized agents process structured state payloads, emit progress events, validate intermediate decisions, and trigger conditional routing or human escalation.</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r>
              <w:rPr>
                <w:b/>
                <w:color w:val="FFFFFF"/>
                <w:sz w:val="18"/>
              </w:rPr>
              <w:t>Agent Identifier</w:t>
            </w:r>
          </w:p>
        </w:tc>
        <w:tc>
          <w:tcPr>
            <w:tcW w:type="dxa" w:w="3120"/>
            <w:shd w:fill="1A365D"/>
            <w:tcMar>
              <w:top w:w="100" w:type="dxa"/>
              <w:bottom w:w="100" w:type="dxa"/>
              <w:left w:w="120" w:type="dxa"/>
              <w:right w:w="120" w:type="dxa"/>
            </w:tcMar>
          </w:tcPr>
          <w:p>
            <w:r>
              <w:rPr>
                <w:b/>
                <w:color w:val="FFFFFF"/>
                <w:sz w:val="18"/>
              </w:rPr>
              <w:t>Primary Responsibility</w:t>
            </w:r>
          </w:p>
        </w:tc>
        <w:tc>
          <w:tcPr>
            <w:tcW w:type="dxa" w:w="3120"/>
            <w:shd w:fill="1A365D"/>
            <w:tcMar>
              <w:top w:w="100" w:type="dxa"/>
              <w:bottom w:w="100" w:type="dxa"/>
              <w:left w:w="120" w:type="dxa"/>
              <w:right w:w="120" w:type="dxa"/>
            </w:tcMar>
          </w:tcPr>
          <w:p>
            <w:r>
              <w:rPr>
                <w:b/>
                <w:color w:val="FFFFFF"/>
                <w:sz w:val="18"/>
              </w:rPr>
              <w:t>Operational Inputs &amp; Output Artifacts</w:t>
            </w:r>
          </w:p>
        </w:tc>
      </w:tr>
      <w:tr>
        <w:tc>
          <w:tcPr>
            <w:tcW w:type="dxa" w:w="3120"/>
            <w:shd w:fill="F7FAFC"/>
            <w:tcMar>
              <w:top w:w="80" w:type="dxa"/>
              <w:bottom w:w="80" w:type="dxa"/>
              <w:left w:w="100" w:type="dxa"/>
              <w:right w:w="100" w:type="dxa"/>
            </w:tcMar>
          </w:tcPr>
          <w:p>
            <w:r>
              <w:rPr>
                <w:b/>
                <w:sz w:val="17"/>
              </w:rPr>
              <w:t>PatientIntakeAgent</w:t>
            </w:r>
          </w:p>
        </w:tc>
        <w:tc>
          <w:tcPr>
            <w:tcW w:type="dxa" w:w="3120"/>
            <w:shd w:fill="F7FAFC"/>
            <w:tcMar>
              <w:top w:w="80" w:type="dxa"/>
              <w:bottom w:w="80" w:type="dxa"/>
              <w:left w:w="100" w:type="dxa"/>
              <w:right w:w="100" w:type="dxa"/>
            </w:tcMar>
          </w:tcPr>
          <w:p>
            <w:r>
              <w:rPr>
                <w:sz w:val="17"/>
              </w:rPr>
              <w:t>Extracts patient demographics, chief complaints, and vitals</w:t>
            </w:r>
          </w:p>
        </w:tc>
        <w:tc>
          <w:tcPr>
            <w:tcW w:type="dxa" w:w="3120"/>
            <w:shd w:fill="F7FAFC"/>
            <w:tcMar>
              <w:top w:w="80" w:type="dxa"/>
              <w:bottom w:w="80" w:type="dxa"/>
              <w:left w:w="100" w:type="dxa"/>
              <w:right w:w="100" w:type="dxa"/>
            </w:tcMar>
          </w:tcPr>
          <w:p>
            <w:r>
              <w:rPr>
                <w:sz w:val="17"/>
              </w:rPr>
              <w:t>Input: Patient registration / intake text -&gt; Output: Normalized Patient Record</w:t>
            </w:r>
          </w:p>
        </w:tc>
      </w:tr>
      <w:tr>
        <w:tc>
          <w:tcPr>
            <w:tcW w:type="dxa" w:w="3120"/>
            <w:tcMar>
              <w:top w:w="80" w:type="dxa"/>
              <w:bottom w:w="80" w:type="dxa"/>
              <w:left w:w="100" w:type="dxa"/>
              <w:right w:w="100" w:type="dxa"/>
            </w:tcMar>
          </w:tcPr>
          <w:p>
            <w:r>
              <w:rPr>
                <w:b/>
                <w:sz w:val="17"/>
              </w:rPr>
              <w:t>DataValidationAgent</w:t>
            </w:r>
          </w:p>
        </w:tc>
        <w:tc>
          <w:tcPr>
            <w:tcW w:type="dxa" w:w="3120"/>
            <w:tcMar>
              <w:top w:w="80" w:type="dxa"/>
              <w:bottom w:w="80" w:type="dxa"/>
              <w:left w:w="100" w:type="dxa"/>
              <w:right w:w="100" w:type="dxa"/>
            </w:tcMar>
          </w:tcPr>
          <w:p>
            <w:r>
              <w:rPr>
                <w:sz w:val="17"/>
              </w:rPr>
              <w:t>Enforces schema integrity, medical data sanity, and PII masking</w:t>
            </w:r>
          </w:p>
        </w:tc>
        <w:tc>
          <w:tcPr>
            <w:tcW w:type="dxa" w:w="3120"/>
            <w:tcMar>
              <w:top w:w="80" w:type="dxa"/>
              <w:bottom w:w="80" w:type="dxa"/>
              <w:left w:w="100" w:type="dxa"/>
              <w:right w:w="100" w:type="dxa"/>
            </w:tcMar>
          </w:tcPr>
          <w:p>
            <w:r>
              <w:rPr>
                <w:sz w:val="17"/>
              </w:rPr>
              <w:t>Input: Raw medical payload -&gt; Output: Validated &amp; sanitized state dict</w:t>
            </w:r>
          </w:p>
        </w:tc>
      </w:tr>
      <w:tr>
        <w:tc>
          <w:tcPr>
            <w:tcW w:type="dxa" w:w="3120"/>
            <w:shd w:fill="F7FAFC"/>
            <w:tcMar>
              <w:top w:w="80" w:type="dxa"/>
              <w:bottom w:w="80" w:type="dxa"/>
              <w:left w:w="100" w:type="dxa"/>
              <w:right w:w="100" w:type="dxa"/>
            </w:tcMar>
          </w:tcPr>
          <w:p>
            <w:r>
              <w:rPr>
                <w:b/>
                <w:sz w:val="17"/>
              </w:rPr>
              <w:t>OCRAgent</w:t>
            </w:r>
          </w:p>
        </w:tc>
        <w:tc>
          <w:tcPr>
            <w:tcW w:type="dxa" w:w="3120"/>
            <w:shd w:fill="F7FAFC"/>
            <w:tcMar>
              <w:top w:w="80" w:type="dxa"/>
              <w:bottom w:w="80" w:type="dxa"/>
              <w:left w:w="100" w:type="dxa"/>
              <w:right w:w="100" w:type="dxa"/>
            </w:tcMar>
          </w:tcPr>
          <w:p>
            <w:r>
              <w:rPr>
                <w:sz w:val="17"/>
              </w:rPr>
              <w:t>Performs image pre-processing, text extraction from reports &amp; scans</w:t>
            </w:r>
          </w:p>
        </w:tc>
        <w:tc>
          <w:tcPr>
            <w:tcW w:type="dxa" w:w="3120"/>
            <w:shd w:fill="F7FAFC"/>
            <w:tcMar>
              <w:top w:w="80" w:type="dxa"/>
              <w:bottom w:w="80" w:type="dxa"/>
              <w:left w:w="100" w:type="dxa"/>
              <w:right w:w="100" w:type="dxa"/>
            </w:tcMar>
          </w:tcPr>
          <w:p>
            <w:r>
              <w:rPr>
                <w:sz w:val="17"/>
              </w:rPr>
              <w:t>Input: PDF / Image file -&gt; Output: High-accuracy OCR transcription string</w:t>
            </w:r>
          </w:p>
        </w:tc>
      </w:tr>
      <w:tr>
        <w:tc>
          <w:tcPr>
            <w:tcW w:type="dxa" w:w="3120"/>
            <w:tcMar>
              <w:top w:w="80" w:type="dxa"/>
              <w:bottom w:w="80" w:type="dxa"/>
              <w:left w:w="100" w:type="dxa"/>
              <w:right w:w="100" w:type="dxa"/>
            </w:tcMar>
          </w:tcPr>
          <w:p>
            <w:r>
              <w:rPr>
                <w:b/>
                <w:sz w:val="17"/>
              </w:rPr>
              <w:t>DocumentIntelligenceAgent</w:t>
            </w:r>
          </w:p>
        </w:tc>
        <w:tc>
          <w:tcPr>
            <w:tcW w:type="dxa" w:w="3120"/>
            <w:tcMar>
              <w:top w:w="80" w:type="dxa"/>
              <w:bottom w:w="80" w:type="dxa"/>
              <w:left w:w="100" w:type="dxa"/>
              <w:right w:w="100" w:type="dxa"/>
            </w:tcMar>
          </w:tcPr>
          <w:p>
            <w:r>
              <w:rPr>
                <w:sz w:val="17"/>
              </w:rPr>
              <w:t>Classifies documents (Lab, Invoice, Prescription, Discharge)</w:t>
            </w:r>
          </w:p>
        </w:tc>
        <w:tc>
          <w:tcPr>
            <w:tcW w:type="dxa" w:w="3120"/>
            <w:tcMar>
              <w:top w:w="80" w:type="dxa"/>
              <w:bottom w:w="80" w:type="dxa"/>
              <w:left w:w="100" w:type="dxa"/>
              <w:right w:w="100" w:type="dxa"/>
            </w:tcMar>
          </w:tcPr>
          <w:p>
            <w:r>
              <w:rPr>
                <w:sz w:val="17"/>
              </w:rPr>
              <w:t>Input: OCR text -&gt; Output: Document category &amp; metadata key-values</w:t>
            </w:r>
          </w:p>
        </w:tc>
      </w:tr>
      <w:tr>
        <w:tc>
          <w:tcPr>
            <w:tcW w:type="dxa" w:w="3120"/>
            <w:shd w:fill="F7FAFC"/>
            <w:tcMar>
              <w:top w:w="80" w:type="dxa"/>
              <w:bottom w:w="80" w:type="dxa"/>
              <w:left w:w="100" w:type="dxa"/>
              <w:right w:w="100" w:type="dxa"/>
            </w:tcMar>
          </w:tcPr>
          <w:p>
            <w:r>
              <w:rPr>
                <w:b/>
                <w:sz w:val="17"/>
              </w:rPr>
              <w:t>LabAnalysisAgent</w:t>
            </w:r>
          </w:p>
        </w:tc>
        <w:tc>
          <w:tcPr>
            <w:tcW w:type="dxa" w:w="3120"/>
            <w:shd w:fill="F7FAFC"/>
            <w:tcMar>
              <w:top w:w="80" w:type="dxa"/>
              <w:bottom w:w="80" w:type="dxa"/>
              <w:left w:w="100" w:type="dxa"/>
              <w:right w:w="100" w:type="dxa"/>
            </w:tcMar>
          </w:tcPr>
          <w:p>
            <w:r>
              <w:rPr>
                <w:sz w:val="17"/>
              </w:rPr>
              <w:t>Parses biomarker values, flags abnormal reference ranges</w:t>
            </w:r>
          </w:p>
        </w:tc>
        <w:tc>
          <w:tcPr>
            <w:tcW w:type="dxa" w:w="3120"/>
            <w:shd w:fill="F7FAFC"/>
            <w:tcMar>
              <w:top w:w="80" w:type="dxa"/>
              <w:bottom w:w="80" w:type="dxa"/>
              <w:left w:w="100" w:type="dxa"/>
              <w:right w:w="100" w:type="dxa"/>
            </w:tcMar>
          </w:tcPr>
          <w:p>
            <w:r>
              <w:rPr>
                <w:sz w:val="17"/>
              </w:rPr>
              <w:t>Input: Lab text -&gt; Output: Structured biomarker metrics &amp; severity flags</w:t>
            </w:r>
          </w:p>
        </w:tc>
      </w:tr>
      <w:tr>
        <w:tc>
          <w:tcPr>
            <w:tcW w:type="dxa" w:w="3120"/>
            <w:tcMar>
              <w:top w:w="80" w:type="dxa"/>
              <w:bottom w:w="80" w:type="dxa"/>
              <w:left w:w="100" w:type="dxa"/>
              <w:right w:w="100" w:type="dxa"/>
            </w:tcMar>
          </w:tcPr>
          <w:p>
            <w:r>
              <w:rPr>
                <w:b/>
                <w:sz w:val="17"/>
              </w:rPr>
              <w:t>RiskPredictionAgent</w:t>
            </w:r>
          </w:p>
        </w:tc>
        <w:tc>
          <w:tcPr>
            <w:tcW w:type="dxa" w:w="3120"/>
            <w:tcMar>
              <w:top w:w="80" w:type="dxa"/>
              <w:bottom w:w="80" w:type="dxa"/>
              <w:left w:w="100" w:type="dxa"/>
              <w:right w:w="100" w:type="dxa"/>
            </w:tcMar>
          </w:tcPr>
          <w:p>
            <w:r>
              <w:rPr>
                <w:sz w:val="17"/>
              </w:rPr>
              <w:t>Calculates multidimensional patient health risk score (0-100)</w:t>
            </w:r>
          </w:p>
        </w:tc>
        <w:tc>
          <w:tcPr>
            <w:tcW w:type="dxa" w:w="3120"/>
            <w:tcMar>
              <w:top w:w="80" w:type="dxa"/>
              <w:bottom w:w="80" w:type="dxa"/>
              <w:left w:w="100" w:type="dxa"/>
              <w:right w:w="100" w:type="dxa"/>
            </w:tcMar>
          </w:tcPr>
          <w:p>
            <w:r>
              <w:rPr>
                <w:sz w:val="17"/>
              </w:rPr>
              <w:t>Input: Biomarkers &amp; history -&gt; Output: Risk Tier (LOW, MEDIUM, HIGH, CRITICAL)</w:t>
            </w:r>
          </w:p>
        </w:tc>
      </w:tr>
      <w:tr>
        <w:tc>
          <w:tcPr>
            <w:tcW w:type="dxa" w:w="3120"/>
            <w:shd w:fill="F7FAFC"/>
            <w:tcMar>
              <w:top w:w="80" w:type="dxa"/>
              <w:bottom w:w="80" w:type="dxa"/>
              <w:left w:w="100" w:type="dxa"/>
              <w:right w:w="100" w:type="dxa"/>
            </w:tcMar>
          </w:tcPr>
          <w:p>
            <w:r>
              <w:rPr>
                <w:b/>
                <w:sz w:val="17"/>
              </w:rPr>
              <w:t>HospitalMatchingAgent</w:t>
            </w:r>
          </w:p>
        </w:tc>
        <w:tc>
          <w:tcPr>
            <w:tcW w:type="dxa" w:w="3120"/>
            <w:shd w:fill="F7FAFC"/>
            <w:tcMar>
              <w:top w:w="80" w:type="dxa"/>
              <w:bottom w:w="80" w:type="dxa"/>
              <w:left w:w="100" w:type="dxa"/>
              <w:right w:w="100" w:type="dxa"/>
            </w:tcMar>
          </w:tcPr>
          <w:p>
            <w:r>
              <w:rPr>
                <w:sz w:val="17"/>
              </w:rPr>
              <w:t>Matches patient condition, budget, &amp; insurance with optimal facilities</w:t>
            </w:r>
          </w:p>
        </w:tc>
        <w:tc>
          <w:tcPr>
            <w:tcW w:type="dxa" w:w="3120"/>
            <w:shd w:fill="F7FAFC"/>
            <w:tcMar>
              <w:top w:w="80" w:type="dxa"/>
              <w:bottom w:w="80" w:type="dxa"/>
              <w:left w:w="100" w:type="dxa"/>
              <w:right w:w="100" w:type="dxa"/>
            </w:tcMar>
          </w:tcPr>
          <w:p>
            <w:r>
              <w:rPr>
                <w:sz w:val="17"/>
              </w:rPr>
              <w:t>Input: Specialty, location, budget -&gt; Output: Ranked hospital candidates</w:t>
            </w:r>
          </w:p>
        </w:tc>
      </w:tr>
      <w:tr>
        <w:tc>
          <w:tcPr>
            <w:tcW w:type="dxa" w:w="3120"/>
            <w:tcMar>
              <w:top w:w="80" w:type="dxa"/>
              <w:bottom w:w="80" w:type="dxa"/>
              <w:left w:w="100" w:type="dxa"/>
              <w:right w:w="100" w:type="dxa"/>
            </w:tcMar>
          </w:tcPr>
          <w:p>
            <w:r>
              <w:rPr>
                <w:b/>
                <w:sz w:val="17"/>
              </w:rPr>
              <w:t>MedicalRAGAgent</w:t>
            </w:r>
          </w:p>
        </w:tc>
        <w:tc>
          <w:tcPr>
            <w:tcW w:type="dxa" w:w="3120"/>
            <w:tcMar>
              <w:top w:w="80" w:type="dxa"/>
              <w:bottom w:w="80" w:type="dxa"/>
              <w:left w:w="100" w:type="dxa"/>
              <w:right w:w="100" w:type="dxa"/>
            </w:tcMar>
          </w:tcPr>
          <w:p>
            <w:r>
              <w:rPr>
                <w:sz w:val="17"/>
              </w:rPr>
              <w:t>Retrieves relevant treatment protocols &amp; policy clauses from Qdrant</w:t>
            </w:r>
          </w:p>
        </w:tc>
        <w:tc>
          <w:tcPr>
            <w:tcW w:type="dxa" w:w="3120"/>
            <w:tcMar>
              <w:top w:w="80" w:type="dxa"/>
              <w:bottom w:w="80" w:type="dxa"/>
              <w:left w:w="100" w:type="dxa"/>
              <w:right w:w="100" w:type="dxa"/>
            </w:tcMar>
          </w:tcPr>
          <w:p>
            <w:r>
              <w:rPr>
                <w:sz w:val="17"/>
              </w:rPr>
              <w:t>Input: Diagnostic query -&gt; Output: Grounded medical &amp; policy citations</w:t>
            </w:r>
          </w:p>
        </w:tc>
      </w:tr>
      <w:tr>
        <w:tc>
          <w:tcPr>
            <w:tcW w:type="dxa" w:w="3120"/>
            <w:shd w:fill="F7FAFC"/>
            <w:tcMar>
              <w:top w:w="80" w:type="dxa"/>
              <w:bottom w:w="80" w:type="dxa"/>
              <w:left w:w="100" w:type="dxa"/>
              <w:right w:w="100" w:type="dxa"/>
            </w:tcMar>
          </w:tcPr>
          <w:p>
            <w:r>
              <w:rPr>
                <w:b/>
                <w:sz w:val="17"/>
              </w:rPr>
              <w:t>VerificationReportAgent</w:t>
            </w:r>
          </w:p>
        </w:tc>
        <w:tc>
          <w:tcPr>
            <w:tcW w:type="dxa" w:w="3120"/>
            <w:shd w:fill="F7FAFC"/>
            <w:tcMar>
              <w:top w:w="80" w:type="dxa"/>
              <w:bottom w:w="80" w:type="dxa"/>
              <w:left w:w="100" w:type="dxa"/>
              <w:right w:w="100" w:type="dxa"/>
            </w:tcMar>
          </w:tcPr>
          <w:p>
            <w:r>
              <w:rPr>
                <w:sz w:val="17"/>
              </w:rPr>
              <w:t>Synthesizes multi-agent outputs into final audit report &amp; claim readiness</w:t>
            </w:r>
          </w:p>
        </w:tc>
        <w:tc>
          <w:tcPr>
            <w:tcW w:type="dxa" w:w="3120"/>
            <w:shd w:fill="F7FAFC"/>
            <w:tcMar>
              <w:top w:w="80" w:type="dxa"/>
              <w:bottom w:w="80" w:type="dxa"/>
              <w:left w:w="100" w:type="dxa"/>
              <w:right w:w="100" w:type="dxa"/>
            </w:tcMar>
          </w:tcPr>
          <w:p>
            <w:r>
              <w:rPr>
                <w:sz w:val="17"/>
              </w:rPr>
              <w:t>Input: Full DAG state -&gt; Output: Comprehensive Final Clinical Verification Dossier</w:t>
            </w:r>
          </w:p>
        </w:tc>
      </w:tr>
    </w:tbl>
    <w:p>
      <w:pPr>
        <w:spacing w:after="160"/>
      </w:pPr>
    </w:p>
    <w:p>
      <w:pPr>
        <w:pStyle w:val="Heading1"/>
        <w:spacing w:before="360" w:after="120"/>
      </w:pPr>
      <w:r>
        <w:rPr>
          <w:b/>
          <w:color w:val="1A365D"/>
          <w:sz w:val="36"/>
        </w:rPr>
        <w:t>4. Database Schema &amp; Data Models</w:t>
      </w:r>
    </w:p>
    <w:p>
      <w:r>
        <w:t>MedSentinel uses a hybrid persistence paradigm: MySQL 8.0 handles ACID-compliant relational entities, while Qdrant vector database indexes semantic embeddings.</w:t>
      </w:r>
    </w:p>
    <w:tbl>
      <w:tblPr>
        <w:tblW w:type="auto" w:w="0"/>
        <w:jc w:val="center"/>
        <w:tblLook w:firstColumn="1" w:firstRow="1" w:lastColumn="0" w:lastRow="0" w:noHBand="0" w:noVBand="1" w:val="04A0"/>
      </w:tblPr>
      <w:tblGrid>
        <w:gridCol w:w="3120"/>
        <w:gridCol w:w="3120"/>
        <w:gridCol w:w="3120"/>
      </w:tblGrid>
      <w:tr>
        <w:tc>
          <w:tcPr>
            <w:tcW w:type="dxa" w:w="3120"/>
            <w:shd w:fill="2B6CB0"/>
            <w:tcMar>
              <w:top w:w="100" w:type="dxa"/>
              <w:bottom w:w="100" w:type="dxa"/>
              <w:left w:w="120" w:type="dxa"/>
              <w:right w:w="120" w:type="dxa"/>
            </w:tcMar>
          </w:tcPr>
          <w:p>
            <w:r>
              <w:rPr>
                <w:b/>
                <w:color w:val="FFFFFF"/>
                <w:sz w:val="18"/>
              </w:rPr>
              <w:t>Entity / Table Name</w:t>
            </w:r>
          </w:p>
        </w:tc>
        <w:tc>
          <w:tcPr>
            <w:tcW w:type="dxa" w:w="3120"/>
            <w:shd w:fill="2B6CB0"/>
            <w:tcMar>
              <w:top w:w="100" w:type="dxa"/>
              <w:bottom w:w="100" w:type="dxa"/>
              <w:left w:w="120" w:type="dxa"/>
              <w:right w:w="120" w:type="dxa"/>
            </w:tcMar>
          </w:tcPr>
          <w:p>
            <w:r>
              <w:rPr>
                <w:b/>
                <w:color w:val="FFFFFF"/>
                <w:sz w:val="18"/>
              </w:rPr>
              <w:t>Primary Keys &amp; Indexes</w:t>
            </w:r>
          </w:p>
        </w:tc>
        <w:tc>
          <w:tcPr>
            <w:tcW w:type="dxa" w:w="3120"/>
            <w:shd w:fill="2B6CB0"/>
            <w:tcMar>
              <w:top w:w="100" w:type="dxa"/>
              <w:bottom w:w="100" w:type="dxa"/>
              <w:left w:w="120" w:type="dxa"/>
              <w:right w:w="120" w:type="dxa"/>
            </w:tcMar>
          </w:tcPr>
          <w:p>
            <w:r>
              <w:rPr>
                <w:b/>
                <w:color w:val="FFFFFF"/>
                <w:sz w:val="18"/>
              </w:rPr>
              <w:t>Functional Role &amp; Key Attributes</w:t>
            </w:r>
          </w:p>
        </w:tc>
      </w:tr>
      <w:tr>
        <w:tc>
          <w:tcPr>
            <w:tcW w:type="dxa" w:w="3120"/>
            <w:shd w:fill="F7FAFC"/>
            <w:tcMar>
              <w:top w:w="80" w:type="dxa"/>
              <w:bottom w:w="80" w:type="dxa"/>
              <w:left w:w="100" w:type="dxa"/>
              <w:right w:w="100" w:type="dxa"/>
            </w:tcMar>
          </w:tcPr>
          <w:p>
            <w:r>
              <w:rPr>
                <w:b/>
                <w:sz w:val="17"/>
              </w:rPr>
              <w:t>users</w:t>
            </w:r>
          </w:p>
        </w:tc>
        <w:tc>
          <w:tcPr>
            <w:tcW w:type="dxa" w:w="3120"/>
            <w:shd w:fill="F7FAFC"/>
            <w:tcMar>
              <w:top w:w="80" w:type="dxa"/>
              <w:bottom w:w="80" w:type="dxa"/>
              <w:left w:w="100" w:type="dxa"/>
              <w:right w:w="100" w:type="dxa"/>
            </w:tcMar>
          </w:tcPr>
          <w:p>
            <w:r>
              <w:rPr>
                <w:sz w:val="17"/>
              </w:rPr>
              <w:t>id (PK), email (UQ), role, is_active</w:t>
            </w:r>
          </w:p>
        </w:tc>
        <w:tc>
          <w:tcPr>
            <w:tcW w:type="dxa" w:w="3120"/>
            <w:shd w:fill="F7FAFC"/>
            <w:tcMar>
              <w:top w:w="80" w:type="dxa"/>
              <w:bottom w:w="80" w:type="dxa"/>
              <w:left w:w="100" w:type="dxa"/>
              <w:right w:w="100" w:type="dxa"/>
            </w:tcMar>
          </w:tcPr>
          <w:p>
            <w:r>
              <w:rPr>
                <w:sz w:val="17"/>
              </w:rPr>
              <w:t>Stores user identity, hashed passwords, 2FA settings, RBAC role assignment.</w:t>
            </w:r>
          </w:p>
        </w:tc>
      </w:tr>
      <w:tr>
        <w:tc>
          <w:tcPr>
            <w:tcW w:type="dxa" w:w="3120"/>
            <w:tcMar>
              <w:top w:w="80" w:type="dxa"/>
              <w:bottom w:w="80" w:type="dxa"/>
              <w:left w:w="100" w:type="dxa"/>
              <w:right w:w="100" w:type="dxa"/>
            </w:tcMar>
          </w:tcPr>
          <w:p>
            <w:r>
              <w:rPr>
                <w:b/>
                <w:sz w:val="17"/>
              </w:rPr>
              <w:t>patients</w:t>
            </w:r>
          </w:p>
        </w:tc>
        <w:tc>
          <w:tcPr>
            <w:tcW w:type="dxa" w:w="3120"/>
            <w:tcMar>
              <w:top w:w="80" w:type="dxa"/>
              <w:bottom w:w="80" w:type="dxa"/>
              <w:left w:w="100" w:type="dxa"/>
              <w:right w:w="100" w:type="dxa"/>
            </w:tcMar>
          </w:tcPr>
          <w:p>
            <w:r>
              <w:rPr>
                <w:sz w:val="17"/>
              </w:rPr>
              <w:t>id (PK), user_id (FK), mrn (UQ)</w:t>
            </w:r>
          </w:p>
        </w:tc>
        <w:tc>
          <w:tcPr>
            <w:tcW w:type="dxa" w:w="3120"/>
            <w:tcMar>
              <w:top w:w="80" w:type="dxa"/>
              <w:bottom w:w="80" w:type="dxa"/>
              <w:left w:w="100" w:type="dxa"/>
              <w:right w:w="100" w:type="dxa"/>
            </w:tcMar>
          </w:tcPr>
          <w:p>
            <w:r>
              <w:rPr>
                <w:sz w:val="17"/>
              </w:rPr>
              <w:t>Patient master profile: demographics, blood group, emergency contacts, medical history.</w:t>
            </w:r>
          </w:p>
        </w:tc>
      </w:tr>
      <w:tr>
        <w:tc>
          <w:tcPr>
            <w:tcW w:type="dxa" w:w="3120"/>
            <w:shd w:fill="F7FAFC"/>
            <w:tcMar>
              <w:top w:w="80" w:type="dxa"/>
              <w:bottom w:w="80" w:type="dxa"/>
              <w:left w:w="100" w:type="dxa"/>
              <w:right w:w="100" w:type="dxa"/>
            </w:tcMar>
          </w:tcPr>
          <w:p>
            <w:r>
              <w:rPr>
                <w:b/>
                <w:sz w:val="17"/>
              </w:rPr>
              <w:t>hospitals</w:t>
            </w:r>
          </w:p>
        </w:tc>
        <w:tc>
          <w:tcPr>
            <w:tcW w:type="dxa" w:w="3120"/>
            <w:shd w:fill="F7FAFC"/>
            <w:tcMar>
              <w:top w:w="80" w:type="dxa"/>
              <w:bottom w:w="80" w:type="dxa"/>
              <w:left w:w="100" w:type="dxa"/>
              <w:right w:w="100" w:type="dxa"/>
            </w:tcMar>
          </w:tcPr>
          <w:p>
            <w:r>
              <w:rPr>
                <w:sz w:val="17"/>
              </w:rPr>
              <w:t>id (PK), name, city, state, tier</w:t>
            </w:r>
          </w:p>
        </w:tc>
        <w:tc>
          <w:tcPr>
            <w:tcW w:type="dxa" w:w="3120"/>
            <w:shd w:fill="F7FAFC"/>
            <w:tcMar>
              <w:top w:w="80" w:type="dxa"/>
              <w:bottom w:w="80" w:type="dxa"/>
              <w:left w:w="100" w:type="dxa"/>
              <w:right w:w="100" w:type="dxa"/>
            </w:tcMar>
          </w:tcPr>
          <w:p>
            <w:r>
              <w:rPr>
                <w:sz w:val="17"/>
              </w:rPr>
              <w:t>Hospital catalog: tier, accreditation, ICU beds, specialties, base pricing, coordinates.</w:t>
            </w:r>
          </w:p>
        </w:tc>
      </w:tr>
      <w:tr>
        <w:tc>
          <w:tcPr>
            <w:tcW w:type="dxa" w:w="3120"/>
            <w:tcMar>
              <w:top w:w="80" w:type="dxa"/>
              <w:bottom w:w="80" w:type="dxa"/>
              <w:left w:w="100" w:type="dxa"/>
              <w:right w:w="100" w:type="dxa"/>
            </w:tcMar>
          </w:tcPr>
          <w:p>
            <w:r>
              <w:rPr>
                <w:b/>
                <w:sz w:val="17"/>
              </w:rPr>
              <w:t>insurance_policies</w:t>
            </w:r>
          </w:p>
        </w:tc>
        <w:tc>
          <w:tcPr>
            <w:tcW w:type="dxa" w:w="3120"/>
            <w:tcMar>
              <w:top w:w="80" w:type="dxa"/>
              <w:bottom w:w="80" w:type="dxa"/>
              <w:left w:w="100" w:type="dxa"/>
              <w:right w:w="100" w:type="dxa"/>
            </w:tcMar>
          </w:tcPr>
          <w:p>
            <w:r>
              <w:rPr>
                <w:sz w:val="17"/>
              </w:rPr>
              <w:t>id (PK), provider_name, policy_number</w:t>
            </w:r>
          </w:p>
        </w:tc>
        <w:tc>
          <w:tcPr>
            <w:tcW w:type="dxa" w:w="3120"/>
            <w:tcMar>
              <w:top w:w="80" w:type="dxa"/>
              <w:bottom w:w="80" w:type="dxa"/>
              <w:left w:w="100" w:type="dxa"/>
              <w:right w:w="100" w:type="dxa"/>
            </w:tcMar>
          </w:tcPr>
          <w:p>
            <w:r>
              <w:rPr>
                <w:sz w:val="17"/>
              </w:rPr>
              <w:t>Active insurance schemes: coverage caps, co-pay ratios, empaneled hospital list.</w:t>
            </w:r>
          </w:p>
        </w:tc>
      </w:tr>
      <w:tr>
        <w:tc>
          <w:tcPr>
            <w:tcW w:type="dxa" w:w="3120"/>
            <w:shd w:fill="F7FAFC"/>
            <w:tcMar>
              <w:top w:w="80" w:type="dxa"/>
              <w:bottom w:w="80" w:type="dxa"/>
              <w:left w:w="100" w:type="dxa"/>
              <w:right w:w="100" w:type="dxa"/>
            </w:tcMar>
          </w:tcPr>
          <w:p>
            <w:r>
              <w:rPr>
                <w:b/>
                <w:sz w:val="17"/>
              </w:rPr>
              <w:t>insurance_claims</w:t>
            </w:r>
          </w:p>
        </w:tc>
        <w:tc>
          <w:tcPr>
            <w:tcW w:type="dxa" w:w="3120"/>
            <w:shd w:fill="F7FAFC"/>
            <w:tcMar>
              <w:top w:w="80" w:type="dxa"/>
              <w:bottom w:w="80" w:type="dxa"/>
              <w:left w:w="100" w:type="dxa"/>
              <w:right w:w="100" w:type="dxa"/>
            </w:tcMar>
          </w:tcPr>
          <w:p>
            <w:r>
              <w:rPr>
                <w:sz w:val="17"/>
              </w:rPr>
              <w:t>id (PK), patient_id (FK), claim_amount</w:t>
            </w:r>
          </w:p>
        </w:tc>
        <w:tc>
          <w:tcPr>
            <w:tcW w:type="dxa" w:w="3120"/>
            <w:shd w:fill="F7FAFC"/>
            <w:tcMar>
              <w:top w:w="80" w:type="dxa"/>
              <w:bottom w:w="80" w:type="dxa"/>
              <w:left w:w="100" w:type="dxa"/>
              <w:right w:w="100" w:type="dxa"/>
            </w:tcMar>
          </w:tcPr>
          <w:p>
            <w:r>
              <w:rPr>
                <w:sz w:val="17"/>
              </w:rPr>
              <w:t>Claim tracking: adjudication status, fraud risk score, submitted bills, reviewer notes.</w:t>
            </w:r>
          </w:p>
        </w:tc>
      </w:tr>
      <w:tr>
        <w:tc>
          <w:tcPr>
            <w:tcW w:type="dxa" w:w="3120"/>
            <w:tcMar>
              <w:top w:w="80" w:type="dxa"/>
              <w:bottom w:w="80" w:type="dxa"/>
              <w:left w:w="100" w:type="dxa"/>
              <w:right w:w="100" w:type="dxa"/>
            </w:tcMar>
          </w:tcPr>
          <w:p>
            <w:r>
              <w:rPr>
                <w:b/>
                <w:sz w:val="17"/>
              </w:rPr>
              <w:t>medical_documents</w:t>
            </w:r>
          </w:p>
        </w:tc>
        <w:tc>
          <w:tcPr>
            <w:tcW w:type="dxa" w:w="3120"/>
            <w:tcMar>
              <w:top w:w="80" w:type="dxa"/>
              <w:bottom w:w="80" w:type="dxa"/>
              <w:left w:w="100" w:type="dxa"/>
              <w:right w:w="100" w:type="dxa"/>
            </w:tcMar>
          </w:tcPr>
          <w:p>
            <w:r>
              <w:rPr>
                <w:sz w:val="17"/>
              </w:rPr>
              <w:t>id (PK), user_id (FK), sha256_hash</w:t>
            </w:r>
          </w:p>
        </w:tc>
        <w:tc>
          <w:tcPr>
            <w:tcW w:type="dxa" w:w="3120"/>
            <w:tcMar>
              <w:top w:w="80" w:type="dxa"/>
              <w:bottom w:w="80" w:type="dxa"/>
              <w:left w:w="100" w:type="dxa"/>
              <w:right w:w="100" w:type="dxa"/>
            </w:tcMar>
          </w:tcPr>
          <w:p>
            <w:r>
              <w:rPr>
                <w:sz w:val="17"/>
              </w:rPr>
              <w:t>Medical vault documents: encrypted storage path, MIME type, cryptographic signature.</w:t>
            </w:r>
          </w:p>
        </w:tc>
      </w:tr>
      <w:tr>
        <w:tc>
          <w:tcPr>
            <w:tcW w:type="dxa" w:w="3120"/>
            <w:shd w:fill="F7FAFC"/>
            <w:tcMar>
              <w:top w:w="80" w:type="dxa"/>
              <w:bottom w:w="80" w:type="dxa"/>
              <w:left w:w="100" w:type="dxa"/>
              <w:right w:w="100" w:type="dxa"/>
            </w:tcMar>
          </w:tcPr>
          <w:p>
            <w:r>
              <w:rPr>
                <w:b/>
                <w:sz w:val="17"/>
              </w:rPr>
              <w:t>agent_workflow_runs</w:t>
            </w:r>
          </w:p>
        </w:tc>
        <w:tc>
          <w:tcPr>
            <w:tcW w:type="dxa" w:w="3120"/>
            <w:shd w:fill="F7FAFC"/>
            <w:tcMar>
              <w:top w:w="80" w:type="dxa"/>
              <w:bottom w:w="80" w:type="dxa"/>
              <w:left w:w="100" w:type="dxa"/>
              <w:right w:w="100" w:type="dxa"/>
            </w:tcMar>
          </w:tcPr>
          <w:p>
            <w:r>
              <w:rPr>
                <w:sz w:val="17"/>
              </w:rPr>
              <w:t>workflow_id (PK, UUID), status, state_blob</w:t>
            </w:r>
          </w:p>
        </w:tc>
        <w:tc>
          <w:tcPr>
            <w:tcW w:type="dxa" w:w="3120"/>
            <w:shd w:fill="F7FAFC"/>
            <w:tcMar>
              <w:top w:w="80" w:type="dxa"/>
              <w:bottom w:w="80" w:type="dxa"/>
              <w:left w:w="100" w:type="dxa"/>
              <w:right w:w="100" w:type="dxa"/>
            </w:tcMar>
          </w:tcPr>
          <w:p>
            <w:r>
              <w:rPr>
                <w:sz w:val="17"/>
              </w:rPr>
              <w:t>Execution trace: JSON state snapshot, agent logs, escalation flags, reviewer ID.</w:t>
            </w:r>
          </w:p>
        </w:tc>
      </w:tr>
    </w:tbl>
    <w:p>
      <w:pPr>
        <w:spacing w:after="160"/>
      </w:pPr>
    </w:p>
    <w:p>
      <w:pPr>
        <w:pStyle w:val="Heading1"/>
        <w:spacing w:before="360" w:after="120"/>
      </w:pPr>
      <w:r>
        <w:rPr>
          <w:b/>
          <w:color w:val="1A365D"/>
          <w:sz w:val="36"/>
        </w:rPr>
        <w:t>5. Security, Privacy &amp; Compliance Architecture</w:t>
      </w:r>
    </w:p>
    <w:p>
      <w:r>
        <w:t>1. Authentication &amp; Session Security: Stateless JWT with short-lived access tokens (60 min) paired with database-backed refresh token rotation and revocation.</w:t>
      </w:r>
    </w:p>
    <w:p>
      <w:r>
        <w:t>2. Role-Based Access Control (RBAC): Fine-grained hierarchical permissions separating standard Users, Hospital Administrators, Insurance Claim Officers, and Platform Super Admins.</w:t>
      </w:r>
    </w:p>
    <w:p>
      <w:r>
        <w:t>3. Cryptographic Document Integrity: Every uploaded medical file has its SHA-256 digest computed and stamped. Tampering is instantly flagged upon verification.</w:t>
      </w:r>
    </w:p>
    <w:p>
      <w:r>
        <w:t>4. Medical Data Privacy (HIPAA Aligned): Strict Private Mode toggle prevents patient identifiable data from transmitting to third-party public models. Local embedding &amp; vector indexing ensure on-premise privacy.</w:t>
      </w:r>
    </w:p>
    <w:p>
      <w:r>
        <w:t>5. Comprehensive Audit Logging: Every administrative modification, claim status shift, and AI workflow run generates an immutable audit record in the database.</w:t>
      </w:r>
    </w:p>
    <w:p>
      <w:pPr>
        <w:pStyle w:val="Heading1"/>
        <w:spacing w:before="360" w:after="120"/>
      </w:pPr>
      <w:r>
        <w:rPr>
          <w:b/>
          <w:color w:val="1A365D"/>
          <w:sz w:val="36"/>
        </w:rPr>
        <w:t>6. Infrastructure, Scalability &amp; CI/CD</w:t>
      </w:r>
    </w:p>
    <w:p>
      <w:r>
        <w:t>* Containerized Architecture: Multi-container Docker Compose setup orchestrating Next.js (port 3000), FastAPI (port 8000), MySQL (port 3306), and Qdrant (port 6333).</w:t>
      </w:r>
    </w:p>
    <w:p>
      <w:r>
        <w:t>* Asynchronous Concurrency: FastAPI leverages Python asyncio for concurrent SSE stream distribution and non-blocking database queries.</w:t>
      </w:r>
    </w:p>
    <w:p>
      <w:r>
        <w:t>* Automated Testing &amp; Code Quality: Comprehensive test suite covering API contracts, multi-agent state transformations, vector RAG retrieval, and hospital geo-matching with 100% test pass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