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B2792" w14:textId="77777777" w:rsidR="00A544AA" w:rsidRDefault="00A544AA">
      <w:pPr>
        <w:pStyle w:val="NormalWeb"/>
      </w:pPr>
      <w:r>
        <w:rPr>
          <w:rStyle w:val="Strong"/>
        </w:rPr>
        <w:t>Context Summary: Trailer Manufacturing Joint Venture</w:t>
      </w:r>
    </w:p>
    <w:p w14:paraId="0739F026" w14:textId="77777777" w:rsidR="00A544AA" w:rsidRDefault="00A544AA">
      <w:pPr>
        <w:pStyle w:val="NormalWeb"/>
      </w:pPr>
      <w:r>
        <w:rPr>
          <w:rStyle w:val="Strong"/>
        </w:rPr>
        <w:t>Partners:</w:t>
      </w:r>
    </w:p>
    <w:p w14:paraId="54BE88B1" w14:textId="77777777" w:rsidR="00A544AA" w:rsidRDefault="00A544AA" w:rsidP="00A544AA">
      <w:pPr>
        <w:numPr>
          <w:ilvl w:val="0"/>
          <w:numId w:val="1"/>
        </w:numPr>
        <w:spacing w:before="100" w:beforeAutospacing="1" w:after="100" w:afterAutospacing="1" w:line="240" w:lineRule="auto"/>
        <w:rPr>
          <w:rFonts w:eastAsia="Times New Roman"/>
        </w:rPr>
      </w:pPr>
      <w:r>
        <w:rPr>
          <w:rStyle w:val="Strong"/>
          <w:rFonts w:eastAsia="Times New Roman"/>
        </w:rPr>
        <w:t>Partner A</w:t>
      </w:r>
      <w:r>
        <w:rPr>
          <w:rFonts w:eastAsia="Times New Roman"/>
        </w:rPr>
        <w:t xml:space="preserve">: Owns the existing manufacturing plant with </w:t>
      </w:r>
      <w:proofErr w:type="spellStart"/>
      <w:r>
        <w:rPr>
          <w:rFonts w:eastAsia="Times New Roman"/>
        </w:rPr>
        <w:t>Rs</w:t>
      </w:r>
      <w:proofErr w:type="spellEnd"/>
      <w:r>
        <w:rPr>
          <w:rFonts w:eastAsia="Times New Roman"/>
        </w:rPr>
        <w:t xml:space="preserve"> 2 Cr sunk </w:t>
      </w:r>
      <w:proofErr w:type="spellStart"/>
      <w:r>
        <w:rPr>
          <w:rFonts w:eastAsia="Times New Roman"/>
        </w:rPr>
        <w:t>CapEx</w:t>
      </w:r>
      <w:proofErr w:type="spellEnd"/>
      <w:r>
        <w:rPr>
          <w:rFonts w:eastAsia="Times New Roman"/>
        </w:rPr>
        <w:t>; will handle Finance &amp; Purchase. The plant remains under Partner A’s legal entity. The JV will operate using this plant through a formal usage agreement between A’s firm and the JV.</w:t>
      </w:r>
    </w:p>
    <w:p w14:paraId="2C8ED28E" w14:textId="77777777" w:rsidR="00A544AA" w:rsidRDefault="00A544AA" w:rsidP="00A544AA">
      <w:pPr>
        <w:numPr>
          <w:ilvl w:val="0"/>
          <w:numId w:val="1"/>
        </w:numPr>
        <w:spacing w:before="100" w:beforeAutospacing="1" w:after="100" w:afterAutospacing="1" w:line="240" w:lineRule="auto"/>
        <w:rPr>
          <w:rFonts w:eastAsia="Times New Roman"/>
        </w:rPr>
      </w:pPr>
      <w:r>
        <w:rPr>
          <w:rStyle w:val="Strong"/>
          <w:rFonts w:eastAsia="Times New Roman"/>
        </w:rPr>
        <w:t>Partner B</w:t>
      </w:r>
      <w:r>
        <w:rPr>
          <w:rFonts w:eastAsia="Times New Roman"/>
        </w:rPr>
        <w:t>: Tractor dealer with a strong customer base; provides Working Capital (</w:t>
      </w:r>
      <w:proofErr w:type="spellStart"/>
      <w:r>
        <w:rPr>
          <w:rFonts w:eastAsia="Times New Roman"/>
        </w:rPr>
        <w:t>Rs</w:t>
      </w:r>
      <w:proofErr w:type="spellEnd"/>
      <w:r>
        <w:rPr>
          <w:rFonts w:eastAsia="Times New Roman"/>
        </w:rPr>
        <w:t xml:space="preserve"> 2 Cr) and Market Access.</w:t>
      </w:r>
    </w:p>
    <w:p w14:paraId="7E306CC5" w14:textId="77777777" w:rsidR="00A544AA" w:rsidRDefault="00A544AA" w:rsidP="00A544AA">
      <w:pPr>
        <w:numPr>
          <w:ilvl w:val="0"/>
          <w:numId w:val="1"/>
        </w:numPr>
        <w:spacing w:before="100" w:beforeAutospacing="1" w:after="100" w:afterAutospacing="1" w:line="240" w:lineRule="auto"/>
        <w:rPr>
          <w:rFonts w:eastAsia="Times New Roman"/>
        </w:rPr>
      </w:pPr>
      <w:r>
        <w:rPr>
          <w:rStyle w:val="Strong"/>
          <w:rFonts w:eastAsia="Times New Roman"/>
        </w:rPr>
        <w:t>Partner C</w:t>
      </w:r>
      <w:r>
        <w:rPr>
          <w:rFonts w:eastAsia="Times New Roman"/>
        </w:rPr>
        <w:t>: Mechanical engineer and operations expert; appointed as Plant Head; brings operational excellence and will draw a salary.</w:t>
      </w:r>
    </w:p>
    <w:p w14:paraId="22C9C3F2" w14:textId="77777777" w:rsidR="00A544AA" w:rsidRDefault="00A544AA" w:rsidP="00A544AA">
      <w:pPr>
        <w:numPr>
          <w:ilvl w:val="0"/>
          <w:numId w:val="1"/>
        </w:numPr>
        <w:spacing w:before="100" w:beforeAutospacing="1" w:after="100" w:afterAutospacing="1" w:line="240" w:lineRule="auto"/>
        <w:rPr>
          <w:rFonts w:eastAsia="Times New Roman"/>
        </w:rPr>
      </w:pPr>
      <w:r>
        <w:rPr>
          <w:rStyle w:val="Strong"/>
          <w:rFonts w:eastAsia="Times New Roman"/>
        </w:rPr>
        <w:t>BC Partners</w:t>
      </w:r>
      <w:r>
        <w:rPr>
          <w:rFonts w:eastAsia="Times New Roman"/>
        </w:rPr>
        <w:t>: A partnership of Partner B (70%) and Partner C (30%) representing a united front.</w:t>
      </w:r>
    </w:p>
    <w:p w14:paraId="316ED07D" w14:textId="77777777" w:rsidR="00A544AA" w:rsidRDefault="00A544AA">
      <w:pPr>
        <w:pStyle w:val="NormalWeb"/>
      </w:pPr>
      <w:r>
        <w:rPr>
          <w:rStyle w:val="Strong"/>
        </w:rPr>
        <w:t>Key Contributions:</w:t>
      </w:r>
    </w:p>
    <w:p w14:paraId="03412062" w14:textId="77777777" w:rsidR="00A544AA" w:rsidRDefault="00A544AA" w:rsidP="00A544AA">
      <w:pPr>
        <w:numPr>
          <w:ilvl w:val="0"/>
          <w:numId w:val="2"/>
        </w:numPr>
        <w:spacing w:before="100" w:beforeAutospacing="1" w:after="100" w:afterAutospacing="1" w:line="240" w:lineRule="auto"/>
        <w:rPr>
          <w:rFonts w:eastAsia="Times New Roman"/>
        </w:rPr>
      </w:pPr>
      <w:r>
        <w:rPr>
          <w:rFonts w:eastAsia="Times New Roman"/>
        </w:rPr>
        <w:t xml:space="preserve">Partner A: </w:t>
      </w:r>
      <w:proofErr w:type="spellStart"/>
      <w:r>
        <w:rPr>
          <w:rFonts w:eastAsia="Times New Roman"/>
        </w:rPr>
        <w:t>Rs</w:t>
      </w:r>
      <w:proofErr w:type="spellEnd"/>
      <w:r>
        <w:rPr>
          <w:rFonts w:eastAsia="Times New Roman"/>
        </w:rPr>
        <w:t xml:space="preserve"> 2 Cr existing plant and equipment (under A’s existing company, used by JV via formal lease/use agreement)</w:t>
      </w:r>
    </w:p>
    <w:p w14:paraId="74840253" w14:textId="77777777" w:rsidR="00A544AA" w:rsidRDefault="00A544AA" w:rsidP="00A544AA">
      <w:pPr>
        <w:numPr>
          <w:ilvl w:val="0"/>
          <w:numId w:val="2"/>
        </w:numPr>
        <w:spacing w:before="100" w:beforeAutospacing="1" w:after="100" w:afterAutospacing="1" w:line="240" w:lineRule="auto"/>
        <w:rPr>
          <w:rFonts w:eastAsia="Times New Roman"/>
        </w:rPr>
      </w:pPr>
      <w:r>
        <w:rPr>
          <w:rFonts w:eastAsia="Times New Roman"/>
        </w:rPr>
        <w:t xml:space="preserve">Partner BC: </w:t>
      </w:r>
    </w:p>
    <w:p w14:paraId="075A293D" w14:textId="77777777" w:rsidR="00A544AA" w:rsidRDefault="00A544AA" w:rsidP="00A544AA">
      <w:pPr>
        <w:numPr>
          <w:ilvl w:val="1"/>
          <w:numId w:val="2"/>
        </w:numPr>
        <w:spacing w:before="100" w:beforeAutospacing="1" w:after="100" w:afterAutospacing="1" w:line="240" w:lineRule="auto"/>
        <w:rPr>
          <w:rFonts w:eastAsia="Times New Roman"/>
        </w:rPr>
      </w:pPr>
      <w:proofErr w:type="spellStart"/>
      <w:r>
        <w:rPr>
          <w:rFonts w:eastAsia="Times New Roman"/>
        </w:rPr>
        <w:t>Rs</w:t>
      </w:r>
      <w:proofErr w:type="spellEnd"/>
      <w:r>
        <w:rPr>
          <w:rFonts w:eastAsia="Times New Roman"/>
        </w:rPr>
        <w:t xml:space="preserve"> 50L: Plant renovation, licenses, and new equipment</w:t>
      </w:r>
    </w:p>
    <w:p w14:paraId="28ECAF9A" w14:textId="77777777" w:rsidR="00A544AA" w:rsidRDefault="00A544AA" w:rsidP="00A544AA">
      <w:pPr>
        <w:numPr>
          <w:ilvl w:val="1"/>
          <w:numId w:val="2"/>
        </w:numPr>
        <w:spacing w:before="100" w:beforeAutospacing="1" w:after="100" w:afterAutospacing="1" w:line="240" w:lineRule="auto"/>
        <w:rPr>
          <w:rFonts w:eastAsia="Times New Roman"/>
        </w:rPr>
      </w:pPr>
      <w:proofErr w:type="spellStart"/>
      <w:r>
        <w:rPr>
          <w:rFonts w:eastAsia="Times New Roman"/>
        </w:rPr>
        <w:t>Rs</w:t>
      </w:r>
      <w:proofErr w:type="spellEnd"/>
      <w:r>
        <w:rPr>
          <w:rFonts w:eastAsia="Times New Roman"/>
        </w:rPr>
        <w:t xml:space="preserve"> 2 Cr: Working capital</w:t>
      </w:r>
    </w:p>
    <w:p w14:paraId="1B196164" w14:textId="77777777" w:rsidR="00A544AA" w:rsidRDefault="00A544AA" w:rsidP="00A544AA">
      <w:pPr>
        <w:numPr>
          <w:ilvl w:val="1"/>
          <w:numId w:val="2"/>
        </w:numPr>
        <w:spacing w:before="100" w:beforeAutospacing="1" w:after="100" w:afterAutospacing="1" w:line="240" w:lineRule="auto"/>
        <w:rPr>
          <w:rFonts w:eastAsia="Times New Roman"/>
        </w:rPr>
      </w:pPr>
      <w:proofErr w:type="spellStart"/>
      <w:r>
        <w:rPr>
          <w:rFonts w:eastAsia="Times New Roman"/>
        </w:rPr>
        <w:t>Rs</w:t>
      </w:r>
      <w:proofErr w:type="spellEnd"/>
      <w:r>
        <w:rPr>
          <w:rFonts w:eastAsia="Times New Roman"/>
        </w:rPr>
        <w:t xml:space="preserve"> 50L: Value of Market (Partner B) and Operations (Partner C)</w:t>
      </w:r>
    </w:p>
    <w:p w14:paraId="37BA06E1" w14:textId="77777777" w:rsidR="00A544AA" w:rsidRDefault="00A544AA" w:rsidP="00A544AA">
      <w:pPr>
        <w:numPr>
          <w:ilvl w:val="0"/>
          <w:numId w:val="2"/>
        </w:numPr>
        <w:spacing w:before="100" w:beforeAutospacing="1" w:after="100" w:afterAutospacing="1" w:line="240" w:lineRule="auto"/>
        <w:rPr>
          <w:rFonts w:eastAsia="Times New Roman"/>
        </w:rPr>
      </w:pPr>
      <w:r>
        <w:rPr>
          <w:rStyle w:val="Strong"/>
          <w:rFonts w:eastAsia="Times New Roman"/>
        </w:rPr>
        <w:t>Total Contribution Pool</w:t>
      </w:r>
      <w:r>
        <w:rPr>
          <w:rFonts w:eastAsia="Times New Roman"/>
        </w:rPr>
        <w:t xml:space="preserve">: </w:t>
      </w:r>
      <w:proofErr w:type="spellStart"/>
      <w:r>
        <w:rPr>
          <w:rFonts w:eastAsia="Times New Roman"/>
        </w:rPr>
        <w:t>Rs</w:t>
      </w:r>
      <w:proofErr w:type="spellEnd"/>
      <w:r>
        <w:rPr>
          <w:rFonts w:eastAsia="Times New Roman"/>
        </w:rPr>
        <w:t xml:space="preserve"> 5 Cr → Partner A = 40%, Partner BC = 60%</w:t>
      </w:r>
    </w:p>
    <w:p w14:paraId="76A6BF80" w14:textId="77777777" w:rsidR="00A544AA" w:rsidRDefault="00A544AA" w:rsidP="00A544AA">
      <w:pPr>
        <w:numPr>
          <w:ilvl w:val="0"/>
          <w:numId w:val="2"/>
        </w:numPr>
        <w:spacing w:before="100" w:beforeAutospacing="1" w:after="100" w:afterAutospacing="1" w:line="240" w:lineRule="auto"/>
        <w:rPr>
          <w:rFonts w:eastAsia="Times New Roman"/>
        </w:rPr>
      </w:pPr>
      <w:r>
        <w:rPr>
          <w:rStyle w:val="Strong"/>
          <w:rFonts w:eastAsia="Times New Roman"/>
        </w:rPr>
        <w:t>Internal Split within BC</w:t>
      </w:r>
      <w:r>
        <w:rPr>
          <w:rFonts w:eastAsia="Times New Roman"/>
        </w:rPr>
        <w:t>: B = 42%, C = 18%</w:t>
      </w:r>
    </w:p>
    <w:p w14:paraId="760D8290" w14:textId="77777777" w:rsidR="00A544AA" w:rsidRDefault="00A544AA">
      <w:pPr>
        <w:pStyle w:val="NormalWeb"/>
      </w:pPr>
      <w:r>
        <w:rPr>
          <w:rStyle w:val="Strong"/>
        </w:rPr>
        <w:t>Conservative vs Expanded Contribution Perspective:</w:t>
      </w:r>
      <w:r>
        <w:t xml:space="preserve"> While the agreed capital and role-based values have been conservatively fixed for the purpose of fairness and good faith, the partners acknowledge that the true business-enabling value of contributions—especially from Partner B (market access) and Partner C (operational execution)—may be higher: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896"/>
        <w:gridCol w:w="1881"/>
        <w:gridCol w:w="2763"/>
        <w:gridCol w:w="1992"/>
      </w:tblGrid>
      <w:tr w:rsidR="00A544AA" w14:paraId="10004E1B" w14:textId="77777777">
        <w:trPr>
          <w:tblHeader/>
          <w:tblCellSpacing w:w="15" w:type="dxa"/>
        </w:trPr>
        <w:tc>
          <w:tcPr>
            <w:tcW w:w="0" w:type="auto"/>
            <w:vAlign w:val="center"/>
            <w:hideMark/>
          </w:tcPr>
          <w:p w14:paraId="7F56D242" w14:textId="77777777" w:rsidR="00A544AA" w:rsidRDefault="00A544AA">
            <w:pPr>
              <w:jc w:val="center"/>
              <w:rPr>
                <w:rFonts w:eastAsia="Times New Roman"/>
                <w:b/>
                <w:bCs/>
              </w:rPr>
            </w:pPr>
            <w:r>
              <w:rPr>
                <w:rStyle w:val="Strong"/>
                <w:rFonts w:eastAsia="Times New Roman"/>
              </w:rPr>
              <w:t>Category</w:t>
            </w:r>
          </w:p>
        </w:tc>
        <w:tc>
          <w:tcPr>
            <w:tcW w:w="0" w:type="auto"/>
            <w:vAlign w:val="center"/>
            <w:hideMark/>
          </w:tcPr>
          <w:p w14:paraId="40CD293C" w14:textId="77777777" w:rsidR="00A544AA" w:rsidRDefault="00A544AA">
            <w:pPr>
              <w:jc w:val="center"/>
              <w:rPr>
                <w:rFonts w:eastAsia="Times New Roman"/>
                <w:b/>
                <w:bCs/>
              </w:rPr>
            </w:pPr>
            <w:r>
              <w:rPr>
                <w:rStyle w:val="Strong"/>
                <w:rFonts w:eastAsia="Times New Roman"/>
              </w:rPr>
              <w:t>Partner</w:t>
            </w:r>
          </w:p>
        </w:tc>
        <w:tc>
          <w:tcPr>
            <w:tcW w:w="0" w:type="auto"/>
            <w:vAlign w:val="center"/>
            <w:hideMark/>
          </w:tcPr>
          <w:p w14:paraId="19B3B4FF" w14:textId="77777777" w:rsidR="00A544AA" w:rsidRDefault="00A544AA">
            <w:pPr>
              <w:jc w:val="center"/>
              <w:rPr>
                <w:rFonts w:eastAsia="Times New Roman"/>
                <w:b/>
                <w:bCs/>
              </w:rPr>
            </w:pPr>
            <w:r>
              <w:rPr>
                <w:rStyle w:val="Strong"/>
                <w:rFonts w:eastAsia="Times New Roman"/>
              </w:rPr>
              <w:t>Basis</w:t>
            </w:r>
          </w:p>
        </w:tc>
        <w:tc>
          <w:tcPr>
            <w:tcW w:w="0" w:type="auto"/>
            <w:vAlign w:val="center"/>
            <w:hideMark/>
          </w:tcPr>
          <w:p w14:paraId="1E335815" w14:textId="77777777" w:rsidR="00A544AA" w:rsidRDefault="00A544AA">
            <w:pPr>
              <w:jc w:val="center"/>
              <w:rPr>
                <w:rFonts w:eastAsia="Times New Roman"/>
                <w:b/>
                <w:bCs/>
              </w:rPr>
            </w:pPr>
            <w:r>
              <w:rPr>
                <w:rStyle w:val="Strong"/>
                <w:rFonts w:eastAsia="Times New Roman"/>
              </w:rPr>
              <w:t>Expanded Estimate (Possibility)</w:t>
            </w:r>
          </w:p>
        </w:tc>
        <w:tc>
          <w:tcPr>
            <w:tcW w:w="0" w:type="auto"/>
            <w:vAlign w:val="center"/>
            <w:hideMark/>
          </w:tcPr>
          <w:p w14:paraId="32C6CF02" w14:textId="77777777" w:rsidR="00A544AA" w:rsidRDefault="00A544AA">
            <w:pPr>
              <w:jc w:val="center"/>
              <w:rPr>
                <w:rFonts w:eastAsia="Times New Roman"/>
                <w:b/>
                <w:bCs/>
              </w:rPr>
            </w:pPr>
            <w:r>
              <w:rPr>
                <w:rStyle w:val="Strong"/>
                <w:rFonts w:eastAsia="Times New Roman"/>
              </w:rPr>
              <w:t>Conservative Value (Considered)</w:t>
            </w:r>
          </w:p>
        </w:tc>
      </w:tr>
      <w:tr w:rsidR="00A544AA" w14:paraId="098FBFDA" w14:textId="77777777">
        <w:trPr>
          <w:tblCellSpacing w:w="15" w:type="dxa"/>
        </w:trPr>
        <w:tc>
          <w:tcPr>
            <w:tcW w:w="0" w:type="auto"/>
            <w:vAlign w:val="center"/>
            <w:hideMark/>
          </w:tcPr>
          <w:p w14:paraId="76C11522" w14:textId="77777777" w:rsidR="00A544AA" w:rsidRDefault="00A544AA">
            <w:pPr>
              <w:rPr>
                <w:rFonts w:eastAsia="Times New Roman"/>
              </w:rPr>
            </w:pPr>
            <w:r>
              <w:rPr>
                <w:rFonts w:eastAsia="Times New Roman"/>
              </w:rPr>
              <w:t>Existing Plant + Equipment</w:t>
            </w:r>
          </w:p>
        </w:tc>
        <w:tc>
          <w:tcPr>
            <w:tcW w:w="0" w:type="auto"/>
            <w:vAlign w:val="center"/>
            <w:hideMark/>
          </w:tcPr>
          <w:p w14:paraId="6854A373" w14:textId="77777777" w:rsidR="00A544AA" w:rsidRDefault="00A544AA">
            <w:pPr>
              <w:rPr>
                <w:rFonts w:eastAsia="Times New Roman"/>
              </w:rPr>
            </w:pPr>
            <w:r>
              <w:rPr>
                <w:rFonts w:eastAsia="Times New Roman"/>
              </w:rPr>
              <w:t>A</w:t>
            </w:r>
          </w:p>
        </w:tc>
        <w:tc>
          <w:tcPr>
            <w:tcW w:w="0" w:type="auto"/>
            <w:vAlign w:val="center"/>
            <w:hideMark/>
          </w:tcPr>
          <w:p w14:paraId="120F5469" w14:textId="77777777" w:rsidR="00A544AA" w:rsidRDefault="00A544AA">
            <w:pPr>
              <w:rPr>
                <w:rFonts w:eastAsia="Times New Roman"/>
              </w:rPr>
            </w:pPr>
            <w:r>
              <w:rPr>
                <w:rFonts w:eastAsia="Times New Roman"/>
              </w:rPr>
              <w:t xml:space="preserve">Actual </w:t>
            </w:r>
            <w:proofErr w:type="spellStart"/>
            <w:r>
              <w:rPr>
                <w:rFonts w:eastAsia="Times New Roman"/>
              </w:rPr>
              <w:t>CapEx</w:t>
            </w:r>
            <w:proofErr w:type="spellEnd"/>
            <w:r>
              <w:rPr>
                <w:rFonts w:eastAsia="Times New Roman"/>
              </w:rPr>
              <w:t xml:space="preserve"> sunk into facility</w:t>
            </w:r>
          </w:p>
        </w:tc>
        <w:tc>
          <w:tcPr>
            <w:tcW w:w="0" w:type="auto"/>
            <w:vAlign w:val="center"/>
            <w:hideMark/>
          </w:tcPr>
          <w:p w14:paraId="71260D9E" w14:textId="77777777" w:rsidR="00A544AA" w:rsidRDefault="00A544AA">
            <w:pPr>
              <w:rPr>
                <w:rFonts w:eastAsia="Times New Roman"/>
              </w:rPr>
            </w:pPr>
            <w:r>
              <w:rPr>
                <w:rFonts w:eastAsia="Times New Roman"/>
              </w:rPr>
              <w:t>₹2.0 Cr</w:t>
            </w:r>
          </w:p>
        </w:tc>
        <w:tc>
          <w:tcPr>
            <w:tcW w:w="0" w:type="auto"/>
            <w:vAlign w:val="center"/>
            <w:hideMark/>
          </w:tcPr>
          <w:p w14:paraId="5BE55F8E" w14:textId="77777777" w:rsidR="00A544AA" w:rsidRDefault="00A544AA">
            <w:pPr>
              <w:rPr>
                <w:rFonts w:eastAsia="Times New Roman"/>
              </w:rPr>
            </w:pPr>
            <w:r>
              <w:rPr>
                <w:rFonts w:eastAsia="Times New Roman"/>
              </w:rPr>
              <w:t>₹2.0 Cr</w:t>
            </w:r>
          </w:p>
        </w:tc>
      </w:tr>
      <w:tr w:rsidR="00A544AA" w14:paraId="10BE5F6D" w14:textId="77777777">
        <w:trPr>
          <w:tblCellSpacing w:w="15" w:type="dxa"/>
        </w:trPr>
        <w:tc>
          <w:tcPr>
            <w:tcW w:w="0" w:type="auto"/>
            <w:vAlign w:val="center"/>
            <w:hideMark/>
          </w:tcPr>
          <w:p w14:paraId="6ABFCBEF" w14:textId="77777777" w:rsidR="00A544AA" w:rsidRDefault="00A544AA">
            <w:pPr>
              <w:rPr>
                <w:rFonts w:eastAsia="Times New Roman"/>
              </w:rPr>
            </w:pPr>
            <w:r>
              <w:rPr>
                <w:rFonts w:eastAsia="Times New Roman"/>
              </w:rPr>
              <w:t>Plant Renovation &amp; Setup</w:t>
            </w:r>
          </w:p>
        </w:tc>
        <w:tc>
          <w:tcPr>
            <w:tcW w:w="0" w:type="auto"/>
            <w:vAlign w:val="center"/>
            <w:hideMark/>
          </w:tcPr>
          <w:p w14:paraId="5AFF8370" w14:textId="77777777" w:rsidR="00A544AA" w:rsidRDefault="00A544AA">
            <w:pPr>
              <w:rPr>
                <w:rFonts w:eastAsia="Times New Roman"/>
              </w:rPr>
            </w:pPr>
            <w:r>
              <w:rPr>
                <w:rFonts w:eastAsia="Times New Roman"/>
              </w:rPr>
              <w:t>BC (B+C)</w:t>
            </w:r>
          </w:p>
        </w:tc>
        <w:tc>
          <w:tcPr>
            <w:tcW w:w="0" w:type="auto"/>
            <w:vAlign w:val="center"/>
            <w:hideMark/>
          </w:tcPr>
          <w:p w14:paraId="176243F2" w14:textId="77777777" w:rsidR="00A544AA" w:rsidRDefault="00A544AA">
            <w:pPr>
              <w:rPr>
                <w:rFonts w:eastAsia="Times New Roman"/>
              </w:rPr>
            </w:pPr>
            <w:r>
              <w:rPr>
                <w:rFonts w:eastAsia="Times New Roman"/>
              </w:rPr>
              <w:t>Cost of license, office, machinery</w:t>
            </w:r>
          </w:p>
        </w:tc>
        <w:tc>
          <w:tcPr>
            <w:tcW w:w="0" w:type="auto"/>
            <w:vAlign w:val="center"/>
            <w:hideMark/>
          </w:tcPr>
          <w:p w14:paraId="2FD54FBD" w14:textId="77777777" w:rsidR="00A544AA" w:rsidRDefault="00A544AA">
            <w:pPr>
              <w:rPr>
                <w:rFonts w:eastAsia="Times New Roman"/>
              </w:rPr>
            </w:pPr>
            <w:r>
              <w:rPr>
                <w:rFonts w:eastAsia="Times New Roman"/>
              </w:rPr>
              <w:t>₹50 Lacs</w:t>
            </w:r>
          </w:p>
        </w:tc>
        <w:tc>
          <w:tcPr>
            <w:tcW w:w="0" w:type="auto"/>
            <w:vAlign w:val="center"/>
            <w:hideMark/>
          </w:tcPr>
          <w:p w14:paraId="2560E1AD" w14:textId="77777777" w:rsidR="00A544AA" w:rsidRDefault="00A544AA">
            <w:pPr>
              <w:rPr>
                <w:rFonts w:eastAsia="Times New Roman"/>
              </w:rPr>
            </w:pPr>
            <w:r>
              <w:rPr>
                <w:rFonts w:eastAsia="Times New Roman"/>
              </w:rPr>
              <w:t>₹50 Lacs</w:t>
            </w:r>
          </w:p>
        </w:tc>
      </w:tr>
      <w:tr w:rsidR="00A544AA" w14:paraId="13EDE9E2" w14:textId="77777777">
        <w:trPr>
          <w:tblCellSpacing w:w="15" w:type="dxa"/>
        </w:trPr>
        <w:tc>
          <w:tcPr>
            <w:tcW w:w="0" w:type="auto"/>
            <w:vAlign w:val="center"/>
            <w:hideMark/>
          </w:tcPr>
          <w:p w14:paraId="725F8733" w14:textId="77777777" w:rsidR="00A544AA" w:rsidRDefault="00A544AA">
            <w:pPr>
              <w:rPr>
                <w:rFonts w:eastAsia="Times New Roman"/>
              </w:rPr>
            </w:pPr>
            <w:r>
              <w:rPr>
                <w:rFonts w:eastAsia="Times New Roman"/>
              </w:rPr>
              <w:t>Working Capital</w:t>
            </w:r>
          </w:p>
        </w:tc>
        <w:tc>
          <w:tcPr>
            <w:tcW w:w="0" w:type="auto"/>
            <w:vAlign w:val="center"/>
            <w:hideMark/>
          </w:tcPr>
          <w:p w14:paraId="55D2AEFB" w14:textId="77777777" w:rsidR="00A544AA" w:rsidRDefault="00A544AA">
            <w:pPr>
              <w:rPr>
                <w:rFonts w:eastAsia="Times New Roman"/>
              </w:rPr>
            </w:pPr>
            <w:r>
              <w:rPr>
                <w:rFonts w:eastAsia="Times New Roman"/>
              </w:rPr>
              <w:t>BC (B+C)</w:t>
            </w:r>
          </w:p>
        </w:tc>
        <w:tc>
          <w:tcPr>
            <w:tcW w:w="0" w:type="auto"/>
            <w:vAlign w:val="center"/>
            <w:hideMark/>
          </w:tcPr>
          <w:p w14:paraId="0E8FABFA" w14:textId="77777777" w:rsidR="00A544AA" w:rsidRDefault="00A544AA">
            <w:pPr>
              <w:rPr>
                <w:rFonts w:eastAsia="Times New Roman"/>
              </w:rPr>
            </w:pPr>
            <w:r>
              <w:rPr>
                <w:rFonts w:eastAsia="Times New Roman"/>
              </w:rPr>
              <w:t>Initial capital to start production</w:t>
            </w:r>
          </w:p>
        </w:tc>
        <w:tc>
          <w:tcPr>
            <w:tcW w:w="0" w:type="auto"/>
            <w:vAlign w:val="center"/>
            <w:hideMark/>
          </w:tcPr>
          <w:p w14:paraId="38C552AA" w14:textId="77777777" w:rsidR="00A544AA" w:rsidRDefault="00A544AA">
            <w:pPr>
              <w:rPr>
                <w:rFonts w:eastAsia="Times New Roman"/>
              </w:rPr>
            </w:pPr>
            <w:r>
              <w:rPr>
                <w:rFonts w:eastAsia="Times New Roman"/>
              </w:rPr>
              <w:t>₹2.0 Cr</w:t>
            </w:r>
          </w:p>
        </w:tc>
        <w:tc>
          <w:tcPr>
            <w:tcW w:w="0" w:type="auto"/>
            <w:vAlign w:val="center"/>
            <w:hideMark/>
          </w:tcPr>
          <w:p w14:paraId="05010A1F" w14:textId="77777777" w:rsidR="00A544AA" w:rsidRDefault="00A544AA">
            <w:pPr>
              <w:rPr>
                <w:rFonts w:eastAsia="Times New Roman"/>
              </w:rPr>
            </w:pPr>
            <w:r>
              <w:rPr>
                <w:rFonts w:eastAsia="Times New Roman"/>
              </w:rPr>
              <w:t>₹2.0 Cr</w:t>
            </w:r>
          </w:p>
        </w:tc>
      </w:tr>
      <w:tr w:rsidR="00A544AA" w14:paraId="2CBE31F4" w14:textId="77777777">
        <w:trPr>
          <w:tblCellSpacing w:w="15" w:type="dxa"/>
        </w:trPr>
        <w:tc>
          <w:tcPr>
            <w:tcW w:w="0" w:type="auto"/>
            <w:vAlign w:val="center"/>
            <w:hideMark/>
          </w:tcPr>
          <w:p w14:paraId="2932336F" w14:textId="77777777" w:rsidR="00A544AA" w:rsidRDefault="00A544AA">
            <w:pPr>
              <w:rPr>
                <w:rFonts w:eastAsia="Times New Roman"/>
              </w:rPr>
            </w:pPr>
            <w:r>
              <w:rPr>
                <w:rFonts w:eastAsia="Times New Roman"/>
              </w:rPr>
              <w:lastRenderedPageBreak/>
              <w:t>Market &amp; Sales Value</w:t>
            </w:r>
          </w:p>
        </w:tc>
        <w:tc>
          <w:tcPr>
            <w:tcW w:w="0" w:type="auto"/>
            <w:vAlign w:val="center"/>
            <w:hideMark/>
          </w:tcPr>
          <w:p w14:paraId="05EBE2DF" w14:textId="77777777" w:rsidR="00A544AA" w:rsidRDefault="00A544AA">
            <w:pPr>
              <w:rPr>
                <w:rFonts w:eastAsia="Times New Roman"/>
              </w:rPr>
            </w:pPr>
            <w:r>
              <w:rPr>
                <w:rFonts w:eastAsia="Times New Roman"/>
              </w:rPr>
              <w:t>B</w:t>
            </w:r>
          </w:p>
        </w:tc>
        <w:tc>
          <w:tcPr>
            <w:tcW w:w="0" w:type="auto"/>
            <w:vAlign w:val="center"/>
            <w:hideMark/>
          </w:tcPr>
          <w:p w14:paraId="456B4BAB" w14:textId="77777777" w:rsidR="00A544AA" w:rsidRDefault="00A544AA">
            <w:pPr>
              <w:rPr>
                <w:rFonts w:eastAsia="Times New Roman"/>
              </w:rPr>
            </w:pPr>
            <w:r>
              <w:rPr>
                <w:rFonts w:eastAsia="Times New Roman"/>
              </w:rPr>
              <w:t>Margin of ₹50,000 × 78 units in 1 quarter</w:t>
            </w:r>
          </w:p>
        </w:tc>
        <w:tc>
          <w:tcPr>
            <w:tcW w:w="0" w:type="auto"/>
            <w:vAlign w:val="center"/>
            <w:hideMark/>
          </w:tcPr>
          <w:p w14:paraId="4042C3FA" w14:textId="77777777" w:rsidR="00A544AA" w:rsidRDefault="00A544AA">
            <w:pPr>
              <w:rPr>
                <w:rFonts w:eastAsia="Times New Roman"/>
              </w:rPr>
            </w:pPr>
            <w:r>
              <w:rPr>
                <w:rFonts w:eastAsia="Times New Roman"/>
              </w:rPr>
              <w:t xml:space="preserve">₹40L (1 </w:t>
            </w:r>
            <w:proofErr w:type="spellStart"/>
            <w:r>
              <w:rPr>
                <w:rFonts w:eastAsia="Times New Roman"/>
              </w:rPr>
              <w:t>Qtr</w:t>
            </w:r>
            <w:proofErr w:type="spellEnd"/>
            <w:r>
              <w:rPr>
                <w:rFonts w:eastAsia="Times New Roman"/>
              </w:rPr>
              <w:t>)</w:t>
            </w:r>
            <w:r>
              <w:rPr>
                <w:rFonts w:eastAsia="Times New Roman"/>
              </w:rPr>
              <w:br/>
              <w:t>₹1.6 Cr (Annual projection)</w:t>
            </w:r>
          </w:p>
        </w:tc>
        <w:tc>
          <w:tcPr>
            <w:tcW w:w="0" w:type="auto"/>
            <w:vAlign w:val="center"/>
            <w:hideMark/>
          </w:tcPr>
          <w:p w14:paraId="5C651407" w14:textId="77777777" w:rsidR="00A544AA" w:rsidRDefault="00A544AA">
            <w:pPr>
              <w:rPr>
                <w:rFonts w:eastAsia="Times New Roman"/>
              </w:rPr>
            </w:pPr>
            <w:r>
              <w:rPr>
                <w:rFonts w:eastAsia="Times New Roman"/>
              </w:rPr>
              <w:t>₹40 Lacs</w:t>
            </w:r>
          </w:p>
        </w:tc>
      </w:tr>
      <w:tr w:rsidR="00A544AA" w14:paraId="38EE9B7E" w14:textId="77777777">
        <w:trPr>
          <w:tblCellSpacing w:w="15" w:type="dxa"/>
        </w:trPr>
        <w:tc>
          <w:tcPr>
            <w:tcW w:w="0" w:type="auto"/>
            <w:vAlign w:val="center"/>
            <w:hideMark/>
          </w:tcPr>
          <w:p w14:paraId="178F1637" w14:textId="77777777" w:rsidR="00A544AA" w:rsidRDefault="00A544AA">
            <w:pPr>
              <w:rPr>
                <w:rFonts w:eastAsia="Times New Roman"/>
              </w:rPr>
            </w:pPr>
            <w:r>
              <w:rPr>
                <w:rFonts w:eastAsia="Times New Roman"/>
              </w:rPr>
              <w:t>Operations &amp; Plant Execution</w:t>
            </w:r>
          </w:p>
        </w:tc>
        <w:tc>
          <w:tcPr>
            <w:tcW w:w="0" w:type="auto"/>
            <w:vAlign w:val="center"/>
            <w:hideMark/>
          </w:tcPr>
          <w:p w14:paraId="6753F4C6" w14:textId="77777777" w:rsidR="00A544AA" w:rsidRDefault="00A544AA">
            <w:pPr>
              <w:rPr>
                <w:rFonts w:eastAsia="Times New Roman"/>
              </w:rPr>
            </w:pPr>
            <w:r>
              <w:rPr>
                <w:rFonts w:eastAsia="Times New Roman"/>
              </w:rPr>
              <w:t>C</w:t>
            </w:r>
          </w:p>
        </w:tc>
        <w:tc>
          <w:tcPr>
            <w:tcW w:w="0" w:type="auto"/>
            <w:vAlign w:val="center"/>
            <w:hideMark/>
          </w:tcPr>
          <w:p w14:paraId="1AE243FF" w14:textId="77777777" w:rsidR="00A544AA" w:rsidRDefault="00A544AA">
            <w:pPr>
              <w:rPr>
                <w:rFonts w:eastAsia="Times New Roman"/>
              </w:rPr>
            </w:pPr>
            <w:r>
              <w:rPr>
                <w:rFonts w:eastAsia="Times New Roman"/>
              </w:rPr>
              <w:t>Equivalent value of multi-role plant head</w:t>
            </w:r>
          </w:p>
        </w:tc>
        <w:tc>
          <w:tcPr>
            <w:tcW w:w="0" w:type="auto"/>
            <w:vAlign w:val="center"/>
            <w:hideMark/>
          </w:tcPr>
          <w:p w14:paraId="75574EF9" w14:textId="77777777" w:rsidR="00A544AA" w:rsidRDefault="00A544AA">
            <w:pPr>
              <w:rPr>
                <w:rFonts w:eastAsia="Times New Roman"/>
              </w:rPr>
            </w:pPr>
            <w:r>
              <w:rPr>
                <w:rFonts w:eastAsia="Times New Roman"/>
              </w:rPr>
              <w:t>₹32L savings/year = ₹8L/</w:t>
            </w:r>
            <w:proofErr w:type="spellStart"/>
            <w:r>
              <w:rPr>
                <w:rFonts w:eastAsia="Times New Roman"/>
              </w:rPr>
              <w:t>Qtr</w:t>
            </w:r>
            <w:proofErr w:type="spellEnd"/>
            <w:r>
              <w:rPr>
                <w:rFonts w:eastAsia="Times New Roman"/>
              </w:rPr>
              <w:t xml:space="preserve"> → Scaled up to ₹25–30L (industry benchmark)</w:t>
            </w:r>
          </w:p>
        </w:tc>
        <w:tc>
          <w:tcPr>
            <w:tcW w:w="0" w:type="auto"/>
            <w:vAlign w:val="center"/>
            <w:hideMark/>
          </w:tcPr>
          <w:p w14:paraId="317D8F48" w14:textId="77777777" w:rsidR="00A544AA" w:rsidRDefault="00A544AA">
            <w:pPr>
              <w:rPr>
                <w:rFonts w:eastAsia="Times New Roman"/>
              </w:rPr>
            </w:pPr>
            <w:r>
              <w:rPr>
                <w:rFonts w:eastAsia="Times New Roman"/>
              </w:rPr>
              <w:t>₹10 Lacs</w:t>
            </w:r>
          </w:p>
        </w:tc>
      </w:tr>
      <w:tr w:rsidR="00A544AA" w14:paraId="1527006B" w14:textId="77777777">
        <w:trPr>
          <w:tblCellSpacing w:w="15" w:type="dxa"/>
        </w:trPr>
        <w:tc>
          <w:tcPr>
            <w:tcW w:w="0" w:type="auto"/>
            <w:vAlign w:val="center"/>
            <w:hideMark/>
          </w:tcPr>
          <w:p w14:paraId="34CFFE8D" w14:textId="77777777" w:rsidR="00A544AA" w:rsidRDefault="00A544AA">
            <w:pPr>
              <w:rPr>
                <w:rFonts w:eastAsia="Times New Roman"/>
              </w:rPr>
            </w:pPr>
            <w:r>
              <w:rPr>
                <w:rStyle w:val="Strong"/>
                <w:rFonts w:eastAsia="Times New Roman"/>
              </w:rPr>
              <w:t>Total Contribution Pool</w:t>
            </w:r>
          </w:p>
        </w:tc>
        <w:tc>
          <w:tcPr>
            <w:tcW w:w="0" w:type="auto"/>
            <w:vAlign w:val="center"/>
            <w:hideMark/>
          </w:tcPr>
          <w:p w14:paraId="2A652F88" w14:textId="77777777" w:rsidR="00A544AA" w:rsidRDefault="00A544AA">
            <w:pPr>
              <w:rPr>
                <w:rFonts w:eastAsia="Times New Roman"/>
              </w:rPr>
            </w:pPr>
          </w:p>
        </w:tc>
        <w:tc>
          <w:tcPr>
            <w:tcW w:w="0" w:type="auto"/>
            <w:vAlign w:val="center"/>
            <w:hideMark/>
          </w:tcPr>
          <w:p w14:paraId="06DD32C0" w14:textId="77777777" w:rsidR="00A544AA" w:rsidRDefault="00A544AA">
            <w:pPr>
              <w:rPr>
                <w:rFonts w:eastAsia="Times New Roman"/>
                <w:sz w:val="20"/>
                <w:szCs w:val="20"/>
              </w:rPr>
            </w:pPr>
          </w:p>
        </w:tc>
        <w:tc>
          <w:tcPr>
            <w:tcW w:w="0" w:type="auto"/>
            <w:vAlign w:val="center"/>
            <w:hideMark/>
          </w:tcPr>
          <w:p w14:paraId="6EF0A805" w14:textId="77777777" w:rsidR="00A544AA" w:rsidRDefault="00A544AA">
            <w:pPr>
              <w:rPr>
                <w:rFonts w:eastAsia="Times New Roman"/>
              </w:rPr>
            </w:pPr>
            <w:r>
              <w:rPr>
                <w:rFonts w:eastAsia="Times New Roman"/>
              </w:rPr>
              <w:t>₹6.2 Cr+ (possibility)</w:t>
            </w:r>
          </w:p>
        </w:tc>
        <w:tc>
          <w:tcPr>
            <w:tcW w:w="0" w:type="auto"/>
            <w:vAlign w:val="center"/>
            <w:hideMark/>
          </w:tcPr>
          <w:p w14:paraId="216AB178" w14:textId="77777777" w:rsidR="00A544AA" w:rsidRDefault="00A544AA">
            <w:pPr>
              <w:rPr>
                <w:rFonts w:eastAsia="Times New Roman"/>
              </w:rPr>
            </w:pPr>
            <w:r>
              <w:rPr>
                <w:rFonts w:eastAsia="Times New Roman"/>
              </w:rPr>
              <w:t>₹5.0 Cr (used for equity split)</w:t>
            </w:r>
          </w:p>
        </w:tc>
      </w:tr>
    </w:tbl>
    <w:p w14:paraId="1447C8B7" w14:textId="77777777" w:rsidR="00A544AA" w:rsidRDefault="00A544AA">
      <w:pPr>
        <w:pStyle w:val="NormalWeb"/>
        <w:divId w:val="1024214506"/>
      </w:pPr>
      <w:r>
        <w:rPr>
          <w:rStyle w:val="Emphasis"/>
        </w:rPr>
        <w:t>The value assigned to Market Access (₹40L) and Operational Leadership (₹10L) is conservative by design. It reflects only the initial enabling value and not the cumulative, recurring benefit to the business. The partners acknowledge this gap but proceed with mutual understanding and long-term faith.</w:t>
      </w:r>
    </w:p>
    <w:p w14:paraId="20EBBEAB" w14:textId="77777777" w:rsidR="00A544AA" w:rsidRDefault="00A544AA">
      <w:pPr>
        <w:pStyle w:val="NormalWeb"/>
      </w:pPr>
      <w:r>
        <w:rPr>
          <w:rStyle w:val="Strong"/>
        </w:rPr>
        <w:t>Operational Assumptions:</w:t>
      </w:r>
    </w:p>
    <w:p w14:paraId="0EFE63B7" w14:textId="77777777" w:rsidR="00A544AA" w:rsidRDefault="00A544AA" w:rsidP="00A544AA">
      <w:pPr>
        <w:numPr>
          <w:ilvl w:val="0"/>
          <w:numId w:val="3"/>
        </w:numPr>
        <w:spacing w:before="100" w:beforeAutospacing="1" w:after="100" w:afterAutospacing="1" w:line="240" w:lineRule="auto"/>
        <w:rPr>
          <w:rFonts w:eastAsia="Times New Roman"/>
        </w:rPr>
      </w:pPr>
      <w:r>
        <w:rPr>
          <w:rFonts w:eastAsia="Times New Roman"/>
        </w:rPr>
        <w:t xml:space="preserve">Unit cost: </w:t>
      </w:r>
      <w:proofErr w:type="spellStart"/>
      <w:r>
        <w:rPr>
          <w:rFonts w:eastAsia="Times New Roman"/>
        </w:rPr>
        <w:t>Rs</w:t>
      </w:r>
      <w:proofErr w:type="spellEnd"/>
      <w:r>
        <w:rPr>
          <w:rFonts w:eastAsia="Times New Roman"/>
        </w:rPr>
        <w:t xml:space="preserve"> 13.5L, Unit sale: </w:t>
      </w:r>
      <w:proofErr w:type="spellStart"/>
      <w:r>
        <w:rPr>
          <w:rFonts w:eastAsia="Times New Roman"/>
        </w:rPr>
        <w:t>Rs</w:t>
      </w:r>
      <w:proofErr w:type="spellEnd"/>
      <w:r>
        <w:rPr>
          <w:rFonts w:eastAsia="Times New Roman"/>
        </w:rPr>
        <w:t xml:space="preserve"> 14L</w:t>
      </w:r>
    </w:p>
    <w:p w14:paraId="504422CB" w14:textId="77777777" w:rsidR="00A544AA" w:rsidRDefault="00A544AA" w:rsidP="00A544AA">
      <w:pPr>
        <w:numPr>
          <w:ilvl w:val="0"/>
          <w:numId w:val="3"/>
        </w:numPr>
        <w:spacing w:before="100" w:beforeAutospacing="1" w:after="100" w:afterAutospacing="1" w:line="240" w:lineRule="auto"/>
        <w:rPr>
          <w:rFonts w:eastAsia="Times New Roman"/>
        </w:rPr>
      </w:pPr>
      <w:r>
        <w:rPr>
          <w:rFonts w:eastAsia="Times New Roman"/>
        </w:rPr>
        <w:t>One cycle = 7 days → 6 units</w:t>
      </w:r>
    </w:p>
    <w:p w14:paraId="60F7B23E" w14:textId="77777777" w:rsidR="00A544AA" w:rsidRDefault="00A544AA" w:rsidP="00A544AA">
      <w:pPr>
        <w:numPr>
          <w:ilvl w:val="0"/>
          <w:numId w:val="3"/>
        </w:numPr>
        <w:spacing w:before="100" w:beforeAutospacing="1" w:after="100" w:afterAutospacing="1" w:line="240" w:lineRule="auto"/>
        <w:rPr>
          <w:rFonts w:eastAsia="Times New Roman"/>
        </w:rPr>
      </w:pPr>
      <w:r>
        <w:rPr>
          <w:rFonts w:eastAsia="Times New Roman"/>
        </w:rPr>
        <w:t xml:space="preserve">13 cycles per quarter = 78 units → </w:t>
      </w:r>
      <w:proofErr w:type="spellStart"/>
      <w:r>
        <w:rPr>
          <w:rFonts w:eastAsia="Times New Roman"/>
        </w:rPr>
        <w:t>Rs</w:t>
      </w:r>
      <w:proofErr w:type="spellEnd"/>
      <w:r>
        <w:rPr>
          <w:rFonts w:eastAsia="Times New Roman"/>
        </w:rPr>
        <w:t xml:space="preserve"> 39L gross margin/quarter</w:t>
      </w:r>
    </w:p>
    <w:p w14:paraId="197DCEF7" w14:textId="77777777" w:rsidR="00A544AA" w:rsidRDefault="00A544AA" w:rsidP="00A544AA">
      <w:pPr>
        <w:numPr>
          <w:ilvl w:val="0"/>
          <w:numId w:val="3"/>
        </w:numPr>
        <w:spacing w:before="100" w:beforeAutospacing="1" w:after="100" w:afterAutospacing="1" w:line="240" w:lineRule="auto"/>
        <w:rPr>
          <w:rFonts w:eastAsia="Times New Roman"/>
        </w:rPr>
      </w:pPr>
      <w:r>
        <w:rPr>
          <w:rFonts w:eastAsia="Times New Roman"/>
        </w:rPr>
        <w:t xml:space="preserve">Salaries: </w:t>
      </w:r>
    </w:p>
    <w:p w14:paraId="0A79966D" w14:textId="77777777" w:rsidR="00A544AA" w:rsidRDefault="00A544AA" w:rsidP="00A544AA">
      <w:pPr>
        <w:numPr>
          <w:ilvl w:val="1"/>
          <w:numId w:val="3"/>
        </w:numPr>
        <w:spacing w:before="100" w:beforeAutospacing="1" w:after="100" w:afterAutospacing="1" w:line="240" w:lineRule="auto"/>
        <w:rPr>
          <w:rFonts w:eastAsia="Times New Roman"/>
        </w:rPr>
      </w:pPr>
      <w:r>
        <w:rPr>
          <w:rFonts w:eastAsia="Times New Roman"/>
        </w:rPr>
        <w:t xml:space="preserve">Partner A: </w:t>
      </w:r>
      <w:proofErr w:type="spellStart"/>
      <w:r>
        <w:rPr>
          <w:rFonts w:eastAsia="Times New Roman"/>
        </w:rPr>
        <w:t>Rs</w:t>
      </w:r>
      <w:proofErr w:type="spellEnd"/>
      <w:r>
        <w:rPr>
          <w:rFonts w:eastAsia="Times New Roman"/>
        </w:rPr>
        <w:t xml:space="preserve"> 12 LPA (</w:t>
      </w:r>
      <w:proofErr w:type="spellStart"/>
      <w:r>
        <w:rPr>
          <w:rFonts w:eastAsia="Times New Roman"/>
        </w:rPr>
        <w:t>Rs</w:t>
      </w:r>
      <w:proofErr w:type="spellEnd"/>
      <w:r>
        <w:rPr>
          <w:rFonts w:eastAsia="Times New Roman"/>
        </w:rPr>
        <w:t xml:space="preserve"> 3L/quarter)</w:t>
      </w:r>
    </w:p>
    <w:p w14:paraId="758C8C04" w14:textId="77777777" w:rsidR="00A544AA" w:rsidRDefault="00A544AA" w:rsidP="00A544AA">
      <w:pPr>
        <w:numPr>
          <w:ilvl w:val="1"/>
          <w:numId w:val="3"/>
        </w:numPr>
        <w:spacing w:before="100" w:beforeAutospacing="1" w:after="100" w:afterAutospacing="1" w:line="240" w:lineRule="auto"/>
        <w:rPr>
          <w:rFonts w:eastAsia="Times New Roman"/>
        </w:rPr>
      </w:pPr>
      <w:r>
        <w:rPr>
          <w:rFonts w:eastAsia="Times New Roman"/>
        </w:rPr>
        <w:t xml:space="preserve">Partner C: </w:t>
      </w:r>
      <w:proofErr w:type="spellStart"/>
      <w:r>
        <w:rPr>
          <w:rFonts w:eastAsia="Times New Roman"/>
        </w:rPr>
        <w:t>Rs</w:t>
      </w:r>
      <w:proofErr w:type="spellEnd"/>
      <w:r>
        <w:rPr>
          <w:rFonts w:eastAsia="Times New Roman"/>
        </w:rPr>
        <w:t xml:space="preserve"> 18 LPA (</w:t>
      </w:r>
      <w:proofErr w:type="spellStart"/>
      <w:r>
        <w:rPr>
          <w:rFonts w:eastAsia="Times New Roman"/>
        </w:rPr>
        <w:t>Rs</w:t>
      </w:r>
      <w:proofErr w:type="spellEnd"/>
      <w:r>
        <w:rPr>
          <w:rFonts w:eastAsia="Times New Roman"/>
        </w:rPr>
        <w:t xml:space="preserve"> 4.5L/quarter)</w:t>
      </w:r>
    </w:p>
    <w:p w14:paraId="2BE46D0A" w14:textId="77777777" w:rsidR="00A544AA" w:rsidRDefault="00A544AA">
      <w:pPr>
        <w:pStyle w:val="NormalWeb"/>
      </w:pPr>
      <w:r>
        <w:rPr>
          <w:rStyle w:val="Strong"/>
        </w:rPr>
        <w:t>Profit Treatment:</w:t>
      </w:r>
    </w:p>
    <w:p w14:paraId="7537EE93" w14:textId="77777777" w:rsidR="00A544AA" w:rsidRDefault="00A544AA" w:rsidP="00A544AA">
      <w:pPr>
        <w:numPr>
          <w:ilvl w:val="0"/>
          <w:numId w:val="4"/>
        </w:numPr>
        <w:spacing w:before="100" w:beforeAutospacing="1" w:after="100" w:afterAutospacing="1" w:line="240" w:lineRule="auto"/>
        <w:rPr>
          <w:rFonts w:eastAsia="Times New Roman"/>
        </w:rPr>
      </w:pPr>
      <w:r>
        <w:rPr>
          <w:rFonts w:eastAsia="Times New Roman"/>
        </w:rPr>
        <w:t xml:space="preserve">Salaries of all partners are treated as </w:t>
      </w:r>
      <w:r>
        <w:rPr>
          <w:rStyle w:val="Strong"/>
          <w:rFonts w:eastAsia="Times New Roman"/>
        </w:rPr>
        <w:t>operational expenses (</w:t>
      </w:r>
      <w:proofErr w:type="spellStart"/>
      <w:r>
        <w:rPr>
          <w:rStyle w:val="Strong"/>
          <w:rFonts w:eastAsia="Times New Roman"/>
        </w:rPr>
        <w:t>Opex</w:t>
      </w:r>
      <w:proofErr w:type="spellEnd"/>
      <w:r>
        <w:rPr>
          <w:rStyle w:val="Strong"/>
          <w:rFonts w:eastAsia="Times New Roman"/>
        </w:rPr>
        <w:t>)</w:t>
      </w:r>
      <w:r>
        <w:rPr>
          <w:rFonts w:eastAsia="Times New Roman"/>
        </w:rPr>
        <w:t>.</w:t>
      </w:r>
    </w:p>
    <w:p w14:paraId="7DC8645A" w14:textId="77777777" w:rsidR="00A544AA" w:rsidRDefault="00A544AA" w:rsidP="00A544AA">
      <w:pPr>
        <w:numPr>
          <w:ilvl w:val="0"/>
          <w:numId w:val="4"/>
        </w:numPr>
        <w:spacing w:before="100" w:beforeAutospacing="1" w:after="100" w:afterAutospacing="1" w:line="240" w:lineRule="auto"/>
        <w:rPr>
          <w:rFonts w:eastAsia="Times New Roman"/>
        </w:rPr>
      </w:pPr>
      <w:r>
        <w:rPr>
          <w:rStyle w:val="Strong"/>
          <w:rFonts w:eastAsia="Times New Roman"/>
        </w:rPr>
        <w:t>Net Profit</w:t>
      </w:r>
      <w:r>
        <w:rPr>
          <w:rFonts w:eastAsia="Times New Roman"/>
        </w:rPr>
        <w:t xml:space="preserve"> = Gross Profit – Salaries and all running costs.</w:t>
      </w:r>
    </w:p>
    <w:p w14:paraId="0BBEC091" w14:textId="77777777" w:rsidR="00A544AA" w:rsidRDefault="00A544AA" w:rsidP="00A544AA">
      <w:pPr>
        <w:numPr>
          <w:ilvl w:val="0"/>
          <w:numId w:val="4"/>
        </w:numPr>
        <w:spacing w:before="100" w:beforeAutospacing="1" w:after="100" w:afterAutospacing="1" w:line="240" w:lineRule="auto"/>
        <w:rPr>
          <w:rFonts w:eastAsia="Times New Roman"/>
        </w:rPr>
      </w:pPr>
      <w:r>
        <w:rPr>
          <w:rFonts w:eastAsia="Times New Roman"/>
        </w:rPr>
        <w:t xml:space="preserve">Profit is calculated at </w:t>
      </w:r>
      <w:r>
        <w:rPr>
          <w:rStyle w:val="Strong"/>
          <w:rFonts w:eastAsia="Times New Roman"/>
        </w:rPr>
        <w:t>each quarter-end</w:t>
      </w:r>
      <w:r>
        <w:rPr>
          <w:rFonts w:eastAsia="Times New Roman"/>
        </w:rPr>
        <w:t>.</w:t>
      </w:r>
    </w:p>
    <w:p w14:paraId="2FEE357F" w14:textId="77777777" w:rsidR="00A544AA" w:rsidRDefault="00A544AA" w:rsidP="00A544AA">
      <w:pPr>
        <w:numPr>
          <w:ilvl w:val="0"/>
          <w:numId w:val="4"/>
        </w:numPr>
        <w:spacing w:before="100" w:beforeAutospacing="1" w:after="100" w:afterAutospacing="1" w:line="240" w:lineRule="auto"/>
        <w:rPr>
          <w:rFonts w:eastAsia="Times New Roman"/>
        </w:rPr>
      </w:pPr>
      <w:r>
        <w:rPr>
          <w:rStyle w:val="Strong"/>
          <w:rFonts w:eastAsia="Times New Roman"/>
        </w:rPr>
        <w:t>Disbursement of Profits:</w:t>
      </w:r>
      <w:r>
        <w:rPr>
          <w:rFonts w:eastAsia="Times New Roman"/>
        </w:rPr>
        <w:t xml:space="preserve"> </w:t>
      </w:r>
    </w:p>
    <w:p w14:paraId="6087132A" w14:textId="77777777" w:rsidR="00A544AA" w:rsidRDefault="00A544AA" w:rsidP="00A544AA">
      <w:pPr>
        <w:numPr>
          <w:ilvl w:val="1"/>
          <w:numId w:val="4"/>
        </w:numPr>
        <w:spacing w:before="100" w:beforeAutospacing="1" w:after="100" w:afterAutospacing="1" w:line="240" w:lineRule="auto"/>
        <w:rPr>
          <w:rFonts w:eastAsia="Times New Roman"/>
        </w:rPr>
      </w:pPr>
      <w:r>
        <w:rPr>
          <w:rFonts w:eastAsia="Times New Roman"/>
        </w:rPr>
        <w:t xml:space="preserve">50% of calculated profit is disbursed at the </w:t>
      </w:r>
      <w:r>
        <w:rPr>
          <w:rStyle w:val="Strong"/>
          <w:rFonts w:eastAsia="Times New Roman"/>
        </w:rPr>
        <w:t>next quarter-end</w:t>
      </w:r>
      <w:r>
        <w:rPr>
          <w:rFonts w:eastAsia="Times New Roman"/>
        </w:rPr>
        <w:t>.</w:t>
      </w:r>
    </w:p>
    <w:p w14:paraId="38F71DC8" w14:textId="77777777" w:rsidR="00A544AA" w:rsidRDefault="00A544AA" w:rsidP="00A544AA">
      <w:pPr>
        <w:numPr>
          <w:ilvl w:val="1"/>
          <w:numId w:val="4"/>
        </w:numPr>
        <w:spacing w:before="100" w:beforeAutospacing="1" w:after="100" w:afterAutospacing="1" w:line="240" w:lineRule="auto"/>
        <w:rPr>
          <w:rFonts w:eastAsia="Times New Roman"/>
        </w:rPr>
      </w:pPr>
      <w:r>
        <w:rPr>
          <w:rFonts w:eastAsia="Times New Roman"/>
        </w:rPr>
        <w:t xml:space="preserve">For </w:t>
      </w:r>
      <w:r>
        <w:rPr>
          <w:rStyle w:val="Strong"/>
          <w:rFonts w:eastAsia="Times New Roman"/>
        </w:rPr>
        <w:t>Partner A</w:t>
      </w:r>
      <w:r>
        <w:rPr>
          <w:rFonts w:eastAsia="Times New Roman"/>
        </w:rPr>
        <w:t xml:space="preserve">, due to active EMIs on </w:t>
      </w:r>
      <w:proofErr w:type="spellStart"/>
      <w:r>
        <w:rPr>
          <w:rFonts w:eastAsia="Times New Roman"/>
        </w:rPr>
        <w:t>CapEx</w:t>
      </w:r>
      <w:proofErr w:type="spellEnd"/>
      <w:r>
        <w:rPr>
          <w:rFonts w:eastAsia="Times New Roman"/>
        </w:rPr>
        <w:t xml:space="preserve">, a </w:t>
      </w:r>
      <w:r>
        <w:rPr>
          <w:rStyle w:val="Strong"/>
          <w:rFonts w:eastAsia="Times New Roman"/>
        </w:rPr>
        <w:t>monthly draw</w:t>
      </w:r>
      <w:r>
        <w:rPr>
          <w:rFonts w:eastAsia="Times New Roman"/>
        </w:rPr>
        <w:t xml:space="preserve"> is permitted as an advance against his share of quarterly profits.</w:t>
      </w:r>
    </w:p>
    <w:p w14:paraId="7B3E4E3B" w14:textId="77777777" w:rsidR="00A544AA" w:rsidRDefault="00A544AA" w:rsidP="00A544AA">
      <w:pPr>
        <w:numPr>
          <w:ilvl w:val="1"/>
          <w:numId w:val="4"/>
        </w:numPr>
        <w:spacing w:before="100" w:beforeAutospacing="1" w:after="100" w:afterAutospacing="1" w:line="240" w:lineRule="auto"/>
        <w:rPr>
          <w:rFonts w:eastAsia="Times New Roman"/>
        </w:rPr>
      </w:pPr>
      <w:r>
        <w:rPr>
          <w:rFonts w:eastAsia="Times New Roman"/>
        </w:rPr>
        <w:t>Remaining amount (after monthly draw) follows the same disbursement timeline as other partners.</w:t>
      </w:r>
    </w:p>
    <w:p w14:paraId="204C1FB4" w14:textId="77777777" w:rsidR="00A544AA" w:rsidRDefault="00A544AA">
      <w:pPr>
        <w:pStyle w:val="NormalWeb"/>
      </w:pPr>
      <w:r>
        <w:rPr>
          <w:rStyle w:val="Strong"/>
        </w:rPr>
        <w:lastRenderedPageBreak/>
        <w:t>Reinvestment Policy:</w:t>
      </w:r>
    </w:p>
    <w:p w14:paraId="2368F005" w14:textId="77777777" w:rsidR="00A544AA" w:rsidRDefault="00A544AA" w:rsidP="00A544AA">
      <w:pPr>
        <w:numPr>
          <w:ilvl w:val="0"/>
          <w:numId w:val="5"/>
        </w:numPr>
        <w:spacing w:before="100" w:beforeAutospacing="1" w:after="100" w:afterAutospacing="1" w:line="240" w:lineRule="auto"/>
        <w:rPr>
          <w:rFonts w:eastAsia="Times New Roman"/>
        </w:rPr>
      </w:pPr>
      <w:r>
        <w:rPr>
          <w:rFonts w:eastAsia="Times New Roman"/>
        </w:rPr>
        <w:t xml:space="preserve">By default, </w:t>
      </w:r>
      <w:r>
        <w:rPr>
          <w:rStyle w:val="Strong"/>
          <w:rFonts w:eastAsia="Times New Roman"/>
        </w:rPr>
        <w:t>40% of quarterly profits</w:t>
      </w:r>
      <w:r>
        <w:rPr>
          <w:rFonts w:eastAsia="Times New Roman"/>
        </w:rPr>
        <w:t xml:space="preserve"> are set aside for reinvestment.</w:t>
      </w:r>
    </w:p>
    <w:p w14:paraId="0BCCA911" w14:textId="77777777" w:rsidR="00A544AA" w:rsidRDefault="00A544AA" w:rsidP="00A544AA">
      <w:pPr>
        <w:numPr>
          <w:ilvl w:val="0"/>
          <w:numId w:val="5"/>
        </w:numPr>
        <w:spacing w:before="100" w:beforeAutospacing="1" w:after="100" w:afterAutospacing="1" w:line="240" w:lineRule="auto"/>
        <w:rPr>
          <w:rFonts w:eastAsia="Times New Roman"/>
        </w:rPr>
      </w:pPr>
      <w:r>
        <w:rPr>
          <w:rFonts w:eastAsia="Times New Roman"/>
        </w:rPr>
        <w:t xml:space="preserve">This reinvestment reserve is capped at </w:t>
      </w:r>
      <w:proofErr w:type="spellStart"/>
      <w:r>
        <w:rPr>
          <w:rStyle w:val="Strong"/>
          <w:rFonts w:eastAsia="Times New Roman"/>
        </w:rPr>
        <w:t>Rs</w:t>
      </w:r>
      <w:proofErr w:type="spellEnd"/>
      <w:r>
        <w:rPr>
          <w:rStyle w:val="Strong"/>
          <w:rFonts w:eastAsia="Times New Roman"/>
        </w:rPr>
        <w:t xml:space="preserve"> 1 Cr</w:t>
      </w:r>
      <w:r>
        <w:rPr>
          <w:rFonts w:eastAsia="Times New Roman"/>
        </w:rPr>
        <w:t xml:space="preserve"> total.</w:t>
      </w:r>
    </w:p>
    <w:p w14:paraId="457E9BF6" w14:textId="77777777" w:rsidR="00A544AA" w:rsidRDefault="00A544AA" w:rsidP="00A544AA">
      <w:pPr>
        <w:numPr>
          <w:ilvl w:val="0"/>
          <w:numId w:val="5"/>
        </w:numPr>
        <w:spacing w:before="100" w:beforeAutospacing="1" w:after="100" w:afterAutospacing="1" w:line="240" w:lineRule="auto"/>
        <w:rPr>
          <w:rFonts w:eastAsia="Times New Roman"/>
        </w:rPr>
      </w:pPr>
      <w:r>
        <w:rPr>
          <w:rFonts w:eastAsia="Times New Roman"/>
        </w:rPr>
        <w:t>The reserve is held in a separate JV account, operated by Partner A in their Finance role.</w:t>
      </w:r>
    </w:p>
    <w:p w14:paraId="2531FB58" w14:textId="77777777" w:rsidR="00A544AA" w:rsidRDefault="00A544AA" w:rsidP="00A544AA">
      <w:pPr>
        <w:numPr>
          <w:ilvl w:val="0"/>
          <w:numId w:val="5"/>
        </w:numPr>
        <w:spacing w:before="100" w:beforeAutospacing="1" w:after="100" w:afterAutospacing="1" w:line="240" w:lineRule="auto"/>
        <w:rPr>
          <w:rFonts w:eastAsia="Times New Roman"/>
        </w:rPr>
      </w:pPr>
      <w:r>
        <w:rPr>
          <w:rStyle w:val="Strong"/>
          <w:rFonts w:eastAsia="Times New Roman"/>
        </w:rPr>
        <w:t>Spending decisions</w:t>
      </w:r>
      <w:r>
        <w:rPr>
          <w:rFonts w:eastAsia="Times New Roman"/>
        </w:rPr>
        <w:t xml:space="preserve"> from this reserve require </w:t>
      </w:r>
      <w:r>
        <w:rPr>
          <w:rStyle w:val="Strong"/>
          <w:rFonts w:eastAsia="Times New Roman"/>
        </w:rPr>
        <w:t>unanimous partner approval</w:t>
      </w:r>
      <w:r>
        <w:rPr>
          <w:rFonts w:eastAsia="Times New Roman"/>
        </w:rPr>
        <w:t>.</w:t>
      </w:r>
    </w:p>
    <w:p w14:paraId="098423AF" w14:textId="77777777" w:rsidR="00A544AA" w:rsidRDefault="00A544AA" w:rsidP="00A544AA">
      <w:pPr>
        <w:numPr>
          <w:ilvl w:val="0"/>
          <w:numId w:val="5"/>
        </w:numPr>
        <w:spacing w:before="100" w:beforeAutospacing="1" w:after="100" w:afterAutospacing="1" w:line="240" w:lineRule="auto"/>
        <w:rPr>
          <w:rFonts w:eastAsia="Times New Roman"/>
        </w:rPr>
      </w:pPr>
      <w:r>
        <w:rPr>
          <w:rFonts w:eastAsia="Times New Roman"/>
        </w:rPr>
        <w:t xml:space="preserve">If no reinvestment is needed or reserve has hit the cap: </w:t>
      </w:r>
    </w:p>
    <w:p w14:paraId="2D599358" w14:textId="77777777" w:rsidR="00A544AA" w:rsidRDefault="00A544AA" w:rsidP="00A544AA">
      <w:pPr>
        <w:numPr>
          <w:ilvl w:val="1"/>
          <w:numId w:val="5"/>
        </w:numPr>
        <w:spacing w:before="100" w:beforeAutospacing="1" w:after="100" w:afterAutospacing="1" w:line="240" w:lineRule="auto"/>
        <w:rPr>
          <w:rFonts w:eastAsia="Times New Roman"/>
        </w:rPr>
      </w:pPr>
      <w:r>
        <w:rPr>
          <w:rFonts w:eastAsia="Times New Roman"/>
        </w:rPr>
        <w:t xml:space="preserve">Surplus is </w:t>
      </w:r>
      <w:r>
        <w:rPr>
          <w:rStyle w:val="Strong"/>
          <w:rFonts w:eastAsia="Times New Roman"/>
        </w:rPr>
        <w:t>carried forward</w:t>
      </w:r>
      <w:r>
        <w:rPr>
          <w:rFonts w:eastAsia="Times New Roman"/>
        </w:rPr>
        <w:t xml:space="preserve"> as internal reserve, or</w:t>
      </w:r>
    </w:p>
    <w:p w14:paraId="6076553C" w14:textId="77777777" w:rsidR="00A544AA" w:rsidRDefault="00A544AA" w:rsidP="00A544AA">
      <w:pPr>
        <w:numPr>
          <w:ilvl w:val="1"/>
          <w:numId w:val="5"/>
        </w:numPr>
        <w:spacing w:before="100" w:beforeAutospacing="1" w:after="100" w:afterAutospacing="1" w:line="240" w:lineRule="auto"/>
        <w:rPr>
          <w:rFonts w:eastAsia="Times New Roman"/>
        </w:rPr>
      </w:pPr>
      <w:r>
        <w:rPr>
          <w:rStyle w:val="Strong"/>
          <w:rFonts w:eastAsia="Times New Roman"/>
        </w:rPr>
        <w:t>Reallocated</w:t>
      </w:r>
      <w:r>
        <w:rPr>
          <w:rFonts w:eastAsia="Times New Roman"/>
        </w:rPr>
        <w:t xml:space="preserve"> to partners as additional profit in the next disbursement cycle, in proportion to equity shares.</w:t>
      </w:r>
    </w:p>
    <w:p w14:paraId="36B0B677" w14:textId="77777777" w:rsidR="00A544AA" w:rsidRDefault="00A544AA" w:rsidP="00A544AA">
      <w:pPr>
        <w:numPr>
          <w:ilvl w:val="0"/>
          <w:numId w:val="5"/>
        </w:numPr>
        <w:spacing w:before="100" w:beforeAutospacing="1" w:after="100" w:afterAutospacing="1" w:line="240" w:lineRule="auto"/>
        <w:rPr>
          <w:rFonts w:eastAsia="Times New Roman"/>
        </w:rPr>
      </w:pPr>
      <w:r>
        <w:rPr>
          <w:rFonts w:eastAsia="Times New Roman"/>
        </w:rPr>
        <w:t xml:space="preserve">A </w:t>
      </w:r>
      <w:r>
        <w:rPr>
          <w:rStyle w:val="Strong"/>
          <w:rFonts w:eastAsia="Times New Roman"/>
        </w:rPr>
        <w:t>≥70% partner vote</w:t>
      </w:r>
      <w:r>
        <w:rPr>
          <w:rFonts w:eastAsia="Times New Roman"/>
        </w:rPr>
        <w:t xml:space="preserve"> can override the reinvestment rule in special circumstances.</w:t>
      </w:r>
    </w:p>
    <w:p w14:paraId="3454BAA3" w14:textId="77777777" w:rsidR="00A544AA" w:rsidRDefault="00A544AA">
      <w:pPr>
        <w:pStyle w:val="NormalWeb"/>
      </w:pPr>
      <w:r>
        <w:rPr>
          <w:rStyle w:val="Strong"/>
        </w:rPr>
        <w:t>Decision-Making Framework:</w:t>
      </w:r>
    </w:p>
    <w:p w14:paraId="3188DD07" w14:textId="77777777" w:rsidR="00A544AA" w:rsidRDefault="00A544AA" w:rsidP="00A544AA">
      <w:pPr>
        <w:numPr>
          <w:ilvl w:val="0"/>
          <w:numId w:val="6"/>
        </w:numPr>
        <w:spacing w:before="100" w:beforeAutospacing="1" w:after="100" w:afterAutospacing="1" w:line="240" w:lineRule="auto"/>
        <w:rPr>
          <w:rFonts w:eastAsia="Times New Roman"/>
        </w:rPr>
      </w:pPr>
      <w:r>
        <w:rPr>
          <w:rFonts w:eastAsia="Times New Roman"/>
        </w:rPr>
        <w:t xml:space="preserve">Adopted: </w:t>
      </w:r>
      <w:r>
        <w:rPr>
          <w:rStyle w:val="Strong"/>
          <w:rFonts w:eastAsia="Times New Roman"/>
        </w:rPr>
        <w:t>Hybrid Control Model</w:t>
      </w:r>
      <w:r>
        <w:rPr>
          <w:rFonts w:eastAsia="Times New Roman"/>
        </w:rPr>
        <w:t xml:space="preserve"> </w:t>
      </w:r>
    </w:p>
    <w:p w14:paraId="6A9418E7" w14:textId="77777777" w:rsidR="00A544AA" w:rsidRDefault="00A544AA" w:rsidP="00A544AA">
      <w:pPr>
        <w:numPr>
          <w:ilvl w:val="1"/>
          <w:numId w:val="6"/>
        </w:numPr>
        <w:spacing w:before="100" w:beforeAutospacing="1" w:after="100" w:afterAutospacing="1" w:line="240" w:lineRule="auto"/>
        <w:rPr>
          <w:rFonts w:eastAsia="Times New Roman"/>
        </w:rPr>
      </w:pPr>
      <w:r>
        <w:rPr>
          <w:rStyle w:val="Strong"/>
          <w:rFonts w:eastAsia="Times New Roman"/>
        </w:rPr>
        <w:t>Day-to-Day Operations</w:t>
      </w:r>
      <w:r>
        <w:rPr>
          <w:rFonts w:eastAsia="Times New Roman"/>
        </w:rPr>
        <w:t>: Managed solely by Partner C (Plant Head)</w:t>
      </w:r>
    </w:p>
    <w:p w14:paraId="4E8C3B12" w14:textId="77777777" w:rsidR="00A544AA" w:rsidRDefault="00A544AA" w:rsidP="00A544AA">
      <w:pPr>
        <w:numPr>
          <w:ilvl w:val="1"/>
          <w:numId w:val="6"/>
        </w:numPr>
        <w:spacing w:before="100" w:beforeAutospacing="1" w:after="100" w:afterAutospacing="1" w:line="240" w:lineRule="auto"/>
        <w:rPr>
          <w:rFonts w:eastAsia="Times New Roman"/>
        </w:rPr>
      </w:pPr>
      <w:r>
        <w:rPr>
          <w:rStyle w:val="Strong"/>
          <w:rFonts w:eastAsia="Times New Roman"/>
        </w:rPr>
        <w:t>Finance &amp; Purchase Decisions</w:t>
      </w:r>
      <w:r>
        <w:rPr>
          <w:rFonts w:eastAsia="Times New Roman"/>
        </w:rPr>
        <w:t>: Veto right with Partner A</w:t>
      </w:r>
    </w:p>
    <w:p w14:paraId="74C3039E" w14:textId="77777777" w:rsidR="00A544AA" w:rsidRDefault="00A544AA" w:rsidP="00A544AA">
      <w:pPr>
        <w:numPr>
          <w:ilvl w:val="1"/>
          <w:numId w:val="6"/>
        </w:numPr>
        <w:spacing w:before="100" w:beforeAutospacing="1" w:after="100" w:afterAutospacing="1" w:line="240" w:lineRule="auto"/>
        <w:rPr>
          <w:rFonts w:eastAsia="Times New Roman"/>
        </w:rPr>
      </w:pPr>
      <w:r>
        <w:rPr>
          <w:rStyle w:val="Strong"/>
          <w:rFonts w:eastAsia="Times New Roman"/>
        </w:rPr>
        <w:t>Customer &amp; Order Commitments</w:t>
      </w:r>
      <w:r>
        <w:rPr>
          <w:rFonts w:eastAsia="Times New Roman"/>
        </w:rPr>
        <w:t>: Final say with Partner B</w:t>
      </w:r>
    </w:p>
    <w:p w14:paraId="786EBBAE" w14:textId="77777777" w:rsidR="00A544AA" w:rsidRDefault="00A544AA" w:rsidP="00A544AA">
      <w:pPr>
        <w:numPr>
          <w:ilvl w:val="1"/>
          <w:numId w:val="6"/>
        </w:numPr>
        <w:spacing w:before="100" w:beforeAutospacing="1" w:after="100" w:afterAutospacing="1" w:line="240" w:lineRule="auto"/>
        <w:rPr>
          <w:rFonts w:eastAsia="Times New Roman"/>
        </w:rPr>
      </w:pPr>
      <w:r>
        <w:rPr>
          <w:rStyle w:val="Strong"/>
          <w:rFonts w:eastAsia="Times New Roman"/>
        </w:rPr>
        <w:t>Major Strategic Decisions</w:t>
      </w:r>
      <w:r>
        <w:rPr>
          <w:rFonts w:eastAsia="Times New Roman"/>
        </w:rPr>
        <w:t>: Require at least 70% voting power approval (e.g., A + B or B + C)</w:t>
      </w:r>
    </w:p>
    <w:p w14:paraId="4B230902" w14:textId="77777777" w:rsidR="00A544AA" w:rsidRDefault="00A544AA">
      <w:pPr>
        <w:pStyle w:val="NormalWeb"/>
      </w:pPr>
      <w:r>
        <w:rPr>
          <w:rStyle w:val="Strong"/>
        </w:rPr>
        <w:t>Voting Structure Clarification:</w:t>
      </w:r>
      <w:r>
        <w:t xml:space="preserve"> To ensure governance balance and prevent bloc control:</w:t>
      </w:r>
    </w:p>
    <w:p w14:paraId="1A1D62E0" w14:textId="77777777" w:rsidR="00A544AA" w:rsidRDefault="00A544AA">
      <w:pPr>
        <w:pStyle w:val="NormalWeb"/>
      </w:pPr>
      <w:r>
        <w:rPr>
          <w:rStyle w:val="Strong"/>
        </w:rPr>
        <w:t>Tier 1 – Operational Decisions (Domain-Based Final Authority):</w:t>
      </w:r>
    </w:p>
    <w:p w14:paraId="7466FA59" w14:textId="77777777" w:rsidR="00A544AA" w:rsidRDefault="00A544AA" w:rsidP="00A544AA">
      <w:pPr>
        <w:numPr>
          <w:ilvl w:val="0"/>
          <w:numId w:val="7"/>
        </w:numPr>
        <w:spacing w:before="100" w:beforeAutospacing="1" w:after="100" w:afterAutospacing="1" w:line="240" w:lineRule="auto"/>
        <w:rPr>
          <w:rFonts w:eastAsia="Times New Roman"/>
        </w:rPr>
      </w:pPr>
      <w:r>
        <w:rPr>
          <w:rFonts w:eastAsia="Times New Roman"/>
        </w:rPr>
        <w:t>Finance: Partner A</w:t>
      </w:r>
    </w:p>
    <w:p w14:paraId="2D9F1368" w14:textId="77777777" w:rsidR="00A544AA" w:rsidRDefault="00A544AA" w:rsidP="00A544AA">
      <w:pPr>
        <w:numPr>
          <w:ilvl w:val="0"/>
          <w:numId w:val="7"/>
        </w:numPr>
        <w:spacing w:before="100" w:beforeAutospacing="1" w:after="100" w:afterAutospacing="1" w:line="240" w:lineRule="auto"/>
        <w:rPr>
          <w:rFonts w:eastAsia="Times New Roman"/>
        </w:rPr>
      </w:pPr>
      <w:r>
        <w:rPr>
          <w:rFonts w:eastAsia="Times New Roman"/>
        </w:rPr>
        <w:t>Market &amp; Orders: Partner B</w:t>
      </w:r>
    </w:p>
    <w:p w14:paraId="4AB845FC" w14:textId="77777777" w:rsidR="00A544AA" w:rsidRDefault="00A544AA" w:rsidP="00A544AA">
      <w:pPr>
        <w:numPr>
          <w:ilvl w:val="0"/>
          <w:numId w:val="7"/>
        </w:numPr>
        <w:spacing w:before="100" w:beforeAutospacing="1" w:after="100" w:afterAutospacing="1" w:line="240" w:lineRule="auto"/>
        <w:rPr>
          <w:rFonts w:eastAsia="Times New Roman"/>
        </w:rPr>
      </w:pPr>
      <w:r>
        <w:rPr>
          <w:rFonts w:eastAsia="Times New Roman"/>
        </w:rPr>
        <w:t>Plant Operations: Partner C</w:t>
      </w:r>
    </w:p>
    <w:p w14:paraId="1A61C026" w14:textId="77777777" w:rsidR="00A544AA" w:rsidRDefault="00A544AA">
      <w:pPr>
        <w:pStyle w:val="NormalWeb"/>
      </w:pPr>
      <w:r>
        <w:rPr>
          <w:rStyle w:val="Strong"/>
        </w:rPr>
        <w:t>Tier 2 – Strategic Business Decisions (≥70% Approval Required):</w:t>
      </w:r>
    </w:p>
    <w:p w14:paraId="33151EFD" w14:textId="77777777" w:rsidR="00A544AA" w:rsidRDefault="00A544AA" w:rsidP="00A544AA">
      <w:pPr>
        <w:numPr>
          <w:ilvl w:val="0"/>
          <w:numId w:val="8"/>
        </w:numPr>
        <w:spacing w:before="100" w:beforeAutospacing="1" w:after="100" w:afterAutospacing="1" w:line="240" w:lineRule="auto"/>
        <w:rPr>
          <w:rFonts w:eastAsia="Times New Roman"/>
        </w:rPr>
      </w:pPr>
      <w:proofErr w:type="spellStart"/>
      <w:r>
        <w:rPr>
          <w:rFonts w:eastAsia="Times New Roman"/>
        </w:rPr>
        <w:t>CapEx</w:t>
      </w:r>
      <w:proofErr w:type="spellEnd"/>
      <w:r>
        <w:rPr>
          <w:rFonts w:eastAsia="Times New Roman"/>
        </w:rPr>
        <w:t xml:space="preserve"> expansion, major hires, external investments, long-term contracts</w:t>
      </w:r>
    </w:p>
    <w:p w14:paraId="4C5297B1" w14:textId="77777777" w:rsidR="00A544AA" w:rsidRDefault="00A544AA" w:rsidP="00A544AA">
      <w:pPr>
        <w:numPr>
          <w:ilvl w:val="0"/>
          <w:numId w:val="8"/>
        </w:numPr>
        <w:spacing w:before="100" w:beforeAutospacing="1" w:after="100" w:afterAutospacing="1" w:line="240" w:lineRule="auto"/>
        <w:rPr>
          <w:rFonts w:eastAsia="Times New Roman"/>
        </w:rPr>
      </w:pPr>
      <w:r>
        <w:rPr>
          <w:rFonts w:eastAsia="Times New Roman"/>
        </w:rPr>
        <w:t>Any two partners with a combined equity ≥70% can approve</w:t>
      </w:r>
    </w:p>
    <w:p w14:paraId="17923B98" w14:textId="77777777" w:rsidR="00A544AA" w:rsidRDefault="00A544AA">
      <w:pPr>
        <w:pStyle w:val="NormalWeb"/>
      </w:pPr>
      <w:r>
        <w:rPr>
          <w:rStyle w:val="Strong"/>
        </w:rPr>
        <w:t>Tier 3 – Extraordinary Decisions (Unanimous or ≥75%):</w:t>
      </w:r>
    </w:p>
    <w:p w14:paraId="6004E4F9" w14:textId="77777777" w:rsidR="00A544AA" w:rsidRDefault="00A544AA" w:rsidP="00A544AA">
      <w:pPr>
        <w:numPr>
          <w:ilvl w:val="0"/>
          <w:numId w:val="9"/>
        </w:numPr>
        <w:spacing w:before="100" w:beforeAutospacing="1" w:after="100" w:afterAutospacing="1" w:line="240" w:lineRule="auto"/>
        <w:rPr>
          <w:rFonts w:eastAsia="Times New Roman"/>
        </w:rPr>
      </w:pPr>
      <w:r>
        <w:rPr>
          <w:rFonts w:eastAsia="Times New Roman"/>
        </w:rPr>
        <w:t>Ownership structure changes, full sale, JV dissolution</w:t>
      </w:r>
    </w:p>
    <w:p w14:paraId="36D10B7C" w14:textId="77777777" w:rsidR="00A544AA" w:rsidRDefault="00A544AA" w:rsidP="00A544AA">
      <w:pPr>
        <w:numPr>
          <w:ilvl w:val="0"/>
          <w:numId w:val="9"/>
        </w:numPr>
        <w:spacing w:before="100" w:beforeAutospacing="1" w:after="100" w:afterAutospacing="1" w:line="240" w:lineRule="auto"/>
        <w:rPr>
          <w:rFonts w:eastAsia="Times New Roman"/>
        </w:rPr>
      </w:pPr>
      <w:r>
        <w:rPr>
          <w:rFonts w:eastAsia="Times New Roman"/>
        </w:rPr>
        <w:t>Require all partners or supermajority approval (≥75%)</w:t>
      </w:r>
    </w:p>
    <w:p w14:paraId="0CB26486" w14:textId="77777777" w:rsidR="00A544AA" w:rsidRDefault="00A544AA">
      <w:pPr>
        <w:pStyle w:val="NormalWeb"/>
        <w:divId w:val="991952903"/>
      </w:pPr>
      <w:r>
        <w:rPr>
          <w:rStyle w:val="Emphasis"/>
        </w:rPr>
        <w:t>While Partner B and C together may have more voting blocks, major business decisions are protected by structured thresholds. This prevents any single or combined block from dominating, while ensuring every partner's role and rights are safeguarded.</w:t>
      </w:r>
    </w:p>
    <w:p w14:paraId="32C71F4E" w14:textId="77777777" w:rsidR="00A544AA" w:rsidRDefault="00A544AA">
      <w:pPr>
        <w:rPr>
          <w:rFonts w:eastAsia="Times New Roman"/>
        </w:rPr>
      </w:pPr>
      <w:r>
        <w:rPr>
          <w:rFonts w:eastAsia="Times New Roman"/>
          <w:noProof/>
        </w:rPr>
        <w:lastRenderedPageBreak/>
        <mc:AlternateContent>
          <mc:Choice Requires="wps">
            <w:drawing>
              <wp:inline distT="0" distB="0" distL="0" distR="0" wp14:anchorId="7A3912B3" wp14:editId="7A8F4D7E">
                <wp:extent cx="5943600" cy="1270"/>
                <wp:effectExtent l="0" t="31750" r="0" b="36830"/>
                <wp:docPr id="14151799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A8586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C08B6C6" w14:textId="77777777" w:rsidR="00A544AA" w:rsidRDefault="00A544AA">
      <w:pPr>
        <w:pStyle w:val="NormalWeb"/>
      </w:pPr>
      <w:r>
        <w:rPr>
          <w:rStyle w:val="Strong"/>
        </w:rPr>
        <w:t>Detailed Control Framework:</w:t>
      </w:r>
    </w:p>
    <w:p w14:paraId="15588FB1" w14:textId="77777777" w:rsidR="00A544AA" w:rsidRDefault="00A544AA">
      <w:pPr>
        <w:pStyle w:val="NormalWeb"/>
        <w:numPr>
          <w:ilvl w:val="0"/>
          <w:numId w:val="10"/>
        </w:numPr>
      </w:pPr>
      <w:r>
        <w:rPr>
          <w:rStyle w:val="Strong"/>
        </w:rPr>
        <w:t>Domain-Based Responsibilities and Veto Rights</w:t>
      </w:r>
    </w:p>
    <w:p w14:paraId="018D30E7"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Finance &amp; Purchase</w:t>
      </w:r>
      <w:r>
        <w:rPr>
          <w:rFonts w:eastAsia="Times New Roman"/>
        </w:rPr>
        <w:t xml:space="preserve">: Handled by Partner A with authority on: </w:t>
      </w:r>
    </w:p>
    <w:p w14:paraId="2099B8DB"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Vendor negotiations</w:t>
      </w:r>
    </w:p>
    <w:p w14:paraId="4455601C"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Payment cycles</w:t>
      </w:r>
    </w:p>
    <w:p w14:paraId="1A54DA25"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Loan/credit arrangements</w:t>
      </w:r>
    </w:p>
    <w:p w14:paraId="44416FA5"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License renewals</w:t>
      </w:r>
    </w:p>
    <w:p w14:paraId="1D64DB3E"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 xml:space="preserve">Any major asset acquisition (above </w:t>
      </w:r>
      <w:proofErr w:type="spellStart"/>
      <w:r>
        <w:rPr>
          <w:rFonts w:eastAsia="Times New Roman"/>
        </w:rPr>
        <w:t>Rs</w:t>
      </w:r>
      <w:proofErr w:type="spellEnd"/>
      <w:r>
        <w:rPr>
          <w:rFonts w:eastAsia="Times New Roman"/>
        </w:rPr>
        <w:t xml:space="preserve"> 5L)</w:t>
      </w:r>
    </w:p>
    <w:p w14:paraId="413BAC3F"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Order &amp; Market Commitments</w:t>
      </w:r>
      <w:r>
        <w:rPr>
          <w:rFonts w:eastAsia="Times New Roman"/>
        </w:rPr>
        <w:t xml:space="preserve">: Partner B holds final decision-making authority on: </w:t>
      </w:r>
    </w:p>
    <w:p w14:paraId="294BB4BF"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Creditworthiness of clients</w:t>
      </w:r>
    </w:p>
    <w:p w14:paraId="5861BE47"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Bulk deal acceptances</w:t>
      </w:r>
    </w:p>
    <w:p w14:paraId="38CDA128"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Dealer and distributor appointments</w:t>
      </w:r>
    </w:p>
    <w:p w14:paraId="43AC3C92"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Discounts and commissions</w:t>
      </w:r>
    </w:p>
    <w:p w14:paraId="419C79FE"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Plant Operations</w:t>
      </w:r>
      <w:r>
        <w:rPr>
          <w:rFonts w:eastAsia="Times New Roman"/>
        </w:rPr>
        <w:t xml:space="preserve">: Partner C retains daily autonomy on: </w:t>
      </w:r>
    </w:p>
    <w:p w14:paraId="2B00CDA8"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Production scheduling</w:t>
      </w:r>
    </w:p>
    <w:p w14:paraId="58DE6B57"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Shift planning and staffing</w:t>
      </w:r>
    </w:p>
    <w:p w14:paraId="67C8C31E"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Quality assurance</w:t>
      </w:r>
    </w:p>
    <w:p w14:paraId="1BF23FED"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Maintenance schedules</w:t>
      </w:r>
    </w:p>
    <w:p w14:paraId="378B1B66"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Design and technical changes (subject to cost clearance by A)</w:t>
      </w:r>
    </w:p>
    <w:p w14:paraId="6EA6E9A6" w14:textId="77777777" w:rsidR="00A544AA" w:rsidRDefault="00A544AA">
      <w:pPr>
        <w:pStyle w:val="NormalWeb"/>
        <w:numPr>
          <w:ilvl w:val="0"/>
          <w:numId w:val="10"/>
        </w:numPr>
      </w:pPr>
      <w:r>
        <w:rPr>
          <w:rStyle w:val="Strong"/>
        </w:rPr>
        <w:t>Strategic Business Decisions (Require ≥70% approval)</w:t>
      </w:r>
    </w:p>
    <w:p w14:paraId="145E7E18"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Capital expansion or new loans</w:t>
      </w:r>
    </w:p>
    <w:p w14:paraId="08180AB5"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Change in profit distribution ratio</w:t>
      </w:r>
    </w:p>
    <w:p w14:paraId="1D5F66C5"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Appointment of CXOs or senior management</w:t>
      </w:r>
    </w:p>
    <w:p w14:paraId="6FF66310"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 xml:space="preserve">Long-term contracts or </w:t>
      </w:r>
      <w:proofErr w:type="spellStart"/>
      <w:r>
        <w:rPr>
          <w:rFonts w:eastAsia="Times New Roman"/>
        </w:rPr>
        <w:t>MoUs</w:t>
      </w:r>
      <w:proofErr w:type="spellEnd"/>
      <w:r>
        <w:rPr>
          <w:rFonts w:eastAsia="Times New Roman"/>
        </w:rPr>
        <w:t xml:space="preserve"> with new customers (&gt;</w:t>
      </w:r>
      <w:proofErr w:type="spellStart"/>
      <w:r>
        <w:rPr>
          <w:rFonts w:eastAsia="Times New Roman"/>
        </w:rPr>
        <w:t>Rs</w:t>
      </w:r>
      <w:proofErr w:type="spellEnd"/>
      <w:r>
        <w:rPr>
          <w:rFonts w:eastAsia="Times New Roman"/>
        </w:rPr>
        <w:t xml:space="preserve"> 50L per quarter)</w:t>
      </w:r>
    </w:p>
    <w:p w14:paraId="5A43524C"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Mergers, acquisitions, or changes in partnership structure</w:t>
      </w:r>
    </w:p>
    <w:p w14:paraId="63B9269E" w14:textId="77777777" w:rsidR="00A544AA" w:rsidRDefault="00A544AA">
      <w:pPr>
        <w:pStyle w:val="NormalWeb"/>
        <w:numPr>
          <w:ilvl w:val="0"/>
          <w:numId w:val="10"/>
        </w:numPr>
      </w:pPr>
      <w:r>
        <w:rPr>
          <w:rStyle w:val="Strong"/>
        </w:rPr>
        <w:t>Lock-in Period and Breach Policy</w:t>
      </w:r>
    </w:p>
    <w:p w14:paraId="510B62A6"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Partner A</w:t>
      </w:r>
      <w:r>
        <w:rPr>
          <w:rFonts w:eastAsia="Times New Roman"/>
        </w:rPr>
        <w:t>: Lock-in period of 3 years</w:t>
      </w:r>
    </w:p>
    <w:p w14:paraId="3CD45FAF"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Partner B</w:t>
      </w:r>
      <w:r>
        <w:rPr>
          <w:rFonts w:eastAsia="Times New Roman"/>
        </w:rPr>
        <w:t>: Lock-in period of 2 years</w:t>
      </w:r>
    </w:p>
    <w:p w14:paraId="3A678D33"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Partner C</w:t>
      </w:r>
      <w:r>
        <w:rPr>
          <w:rFonts w:eastAsia="Times New Roman"/>
        </w:rPr>
        <w:t>: Lock-in period of 2 years</w:t>
      </w:r>
    </w:p>
    <w:p w14:paraId="31A0A217"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 xml:space="preserve">No partner may exit or transfer equity during lock-in without </w:t>
      </w:r>
      <w:r>
        <w:rPr>
          <w:rStyle w:val="Strong"/>
          <w:rFonts w:eastAsia="Times New Roman"/>
        </w:rPr>
        <w:t>unanimous consent</w:t>
      </w:r>
      <w:r>
        <w:rPr>
          <w:rFonts w:eastAsia="Times New Roman"/>
        </w:rPr>
        <w:t>.</w:t>
      </w:r>
    </w:p>
    <w:p w14:paraId="7A77078C"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Breach of lock-in</w:t>
      </w:r>
      <w:r>
        <w:rPr>
          <w:rFonts w:eastAsia="Times New Roman"/>
        </w:rPr>
        <w:t xml:space="preserve"> triggers the following default penalties: </w:t>
      </w:r>
    </w:p>
    <w:p w14:paraId="436972BB" w14:textId="77777777" w:rsidR="00A544AA" w:rsidRDefault="00A544AA" w:rsidP="00A544AA">
      <w:pPr>
        <w:numPr>
          <w:ilvl w:val="2"/>
          <w:numId w:val="10"/>
        </w:numPr>
        <w:spacing w:before="100" w:beforeAutospacing="1" w:after="100" w:afterAutospacing="1" w:line="240" w:lineRule="auto"/>
        <w:rPr>
          <w:rFonts w:eastAsia="Times New Roman"/>
        </w:rPr>
      </w:pPr>
      <w:r>
        <w:rPr>
          <w:rStyle w:val="Strong"/>
          <w:rFonts w:eastAsia="Times New Roman"/>
        </w:rPr>
        <w:t>Partner A</w:t>
      </w:r>
      <w:r>
        <w:rPr>
          <w:rFonts w:eastAsia="Times New Roman"/>
        </w:rPr>
        <w:t>: Forfeits 15% of equity value upon violation</w:t>
      </w:r>
    </w:p>
    <w:p w14:paraId="3F6346ED" w14:textId="77777777" w:rsidR="00A544AA" w:rsidRDefault="00A544AA" w:rsidP="00A544AA">
      <w:pPr>
        <w:numPr>
          <w:ilvl w:val="2"/>
          <w:numId w:val="10"/>
        </w:numPr>
        <w:spacing w:before="100" w:beforeAutospacing="1" w:after="100" w:afterAutospacing="1" w:line="240" w:lineRule="auto"/>
        <w:rPr>
          <w:rFonts w:eastAsia="Times New Roman"/>
        </w:rPr>
      </w:pPr>
      <w:r>
        <w:rPr>
          <w:rStyle w:val="Strong"/>
          <w:rFonts w:eastAsia="Times New Roman"/>
        </w:rPr>
        <w:t>Partner B</w:t>
      </w:r>
      <w:r>
        <w:rPr>
          <w:rFonts w:eastAsia="Times New Roman"/>
        </w:rPr>
        <w:t>: Forfeits ₹50L or equivalent % of capital invested</w:t>
      </w:r>
    </w:p>
    <w:p w14:paraId="5EA4C784" w14:textId="77777777" w:rsidR="00A544AA" w:rsidRDefault="00A544AA" w:rsidP="00A544AA">
      <w:pPr>
        <w:numPr>
          <w:ilvl w:val="2"/>
          <w:numId w:val="10"/>
        </w:numPr>
        <w:spacing w:before="100" w:beforeAutospacing="1" w:after="100" w:afterAutospacing="1" w:line="240" w:lineRule="auto"/>
        <w:rPr>
          <w:rFonts w:eastAsia="Times New Roman"/>
        </w:rPr>
      </w:pPr>
      <w:r>
        <w:rPr>
          <w:rStyle w:val="Strong"/>
          <w:rFonts w:eastAsia="Times New Roman"/>
        </w:rPr>
        <w:t>Partner C</w:t>
      </w:r>
      <w:r>
        <w:rPr>
          <w:rFonts w:eastAsia="Times New Roman"/>
        </w:rPr>
        <w:t>: Forfeits entire sweat equity share if leaving without valid cause</w:t>
      </w:r>
    </w:p>
    <w:p w14:paraId="7286EF7D"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 xml:space="preserve">A formal </w:t>
      </w:r>
      <w:r>
        <w:rPr>
          <w:rStyle w:val="Strong"/>
          <w:rFonts w:eastAsia="Times New Roman"/>
        </w:rPr>
        <w:t>mediation and justification process</w:t>
      </w:r>
      <w:r>
        <w:rPr>
          <w:rFonts w:eastAsia="Times New Roman"/>
        </w:rPr>
        <w:t xml:space="preserve"> is mandatory: </w:t>
      </w:r>
    </w:p>
    <w:p w14:paraId="3D9E74C3"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Breach is recorded and reviewed within 7 days</w:t>
      </w:r>
    </w:p>
    <w:p w14:paraId="02F23B54"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15 days granted to rectify, explain, or reverse action</w:t>
      </w:r>
    </w:p>
    <w:p w14:paraId="21DABADE"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lastRenderedPageBreak/>
        <w:t xml:space="preserve">Remaining partners may accept justification and </w:t>
      </w:r>
      <w:r>
        <w:rPr>
          <w:rStyle w:val="Strong"/>
          <w:rFonts w:eastAsia="Times New Roman"/>
        </w:rPr>
        <w:t>waive penalties</w:t>
      </w:r>
      <w:r>
        <w:rPr>
          <w:rFonts w:eastAsia="Times New Roman"/>
        </w:rPr>
        <w:t xml:space="preserve"> by unanimous agreement</w:t>
      </w:r>
    </w:p>
    <w:p w14:paraId="5F3F96B7"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If not resolved, penalties enforced and partner exits at 70% of fair valuation</w:t>
      </w:r>
    </w:p>
    <w:p w14:paraId="2585C093"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 xml:space="preserve">All such terms must be documented legally within the </w:t>
      </w:r>
      <w:r>
        <w:rPr>
          <w:rStyle w:val="Strong"/>
          <w:rFonts w:eastAsia="Times New Roman"/>
        </w:rPr>
        <w:t>Partnership Deed/Shareholders’ Agreement</w:t>
      </w:r>
    </w:p>
    <w:p w14:paraId="173995EE" w14:textId="77777777" w:rsidR="00A544AA" w:rsidRDefault="00A544AA">
      <w:pPr>
        <w:pStyle w:val="NormalWeb"/>
        <w:numPr>
          <w:ilvl w:val="0"/>
          <w:numId w:val="10"/>
        </w:numPr>
      </w:pPr>
      <w:r>
        <w:rPr>
          <w:rStyle w:val="Strong"/>
        </w:rPr>
        <w:t>Special Exit Provisions (Medical, Emergency, or Force Majeure)</w:t>
      </w:r>
    </w:p>
    <w:p w14:paraId="17398CBA"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 xml:space="preserve">A partner may request early exit (without penalty) under: </w:t>
      </w:r>
    </w:p>
    <w:p w14:paraId="15D87711"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Terminal illness or certified disability</w:t>
      </w:r>
    </w:p>
    <w:p w14:paraId="2C5C8332"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Immediate family emergency</w:t>
      </w:r>
    </w:p>
    <w:p w14:paraId="7421DB98"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Legal restriction or government injunction</w:t>
      </w:r>
    </w:p>
    <w:p w14:paraId="51F24C88"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Natural disaster or similar force majeure</w:t>
      </w:r>
    </w:p>
    <w:p w14:paraId="576ED00D"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Death of a partner</w:t>
      </w:r>
    </w:p>
    <w:p w14:paraId="513069F9"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Exit Procedure:</w:t>
      </w:r>
      <w:r>
        <w:rPr>
          <w:rFonts w:eastAsia="Times New Roman"/>
        </w:rPr>
        <w:t xml:space="preserve"> </w:t>
      </w:r>
    </w:p>
    <w:p w14:paraId="495E5AD6"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Formal written request with evidence</w:t>
      </w:r>
    </w:p>
    <w:p w14:paraId="43CF945D"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Verified by other partners within 15 days</w:t>
      </w:r>
    </w:p>
    <w:p w14:paraId="0D7B9EB6"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Stake buyout at fair market valuation</w:t>
      </w:r>
    </w:p>
    <w:p w14:paraId="5A84674F" w14:textId="77777777" w:rsidR="00A544AA" w:rsidRDefault="00A544AA" w:rsidP="00A544AA">
      <w:pPr>
        <w:numPr>
          <w:ilvl w:val="2"/>
          <w:numId w:val="10"/>
        </w:numPr>
        <w:spacing w:before="100" w:beforeAutospacing="1" w:after="100" w:afterAutospacing="1" w:line="240" w:lineRule="auto"/>
        <w:rPr>
          <w:rFonts w:eastAsia="Times New Roman"/>
        </w:rPr>
      </w:pPr>
      <w:proofErr w:type="spellStart"/>
      <w:r>
        <w:rPr>
          <w:rFonts w:eastAsia="Times New Roman"/>
        </w:rPr>
        <w:t>Payout</w:t>
      </w:r>
      <w:proofErr w:type="spellEnd"/>
      <w:r>
        <w:rPr>
          <w:rFonts w:eastAsia="Times New Roman"/>
        </w:rPr>
        <w:t xml:space="preserve"> in 3 equal quarterly </w:t>
      </w:r>
      <w:proofErr w:type="spellStart"/>
      <w:r>
        <w:rPr>
          <w:rFonts w:eastAsia="Times New Roman"/>
        </w:rPr>
        <w:t>installments</w:t>
      </w:r>
      <w:proofErr w:type="spellEnd"/>
      <w:r>
        <w:rPr>
          <w:rFonts w:eastAsia="Times New Roman"/>
        </w:rPr>
        <w:t xml:space="preserve"> unless mutually agreed otherwise</w:t>
      </w:r>
    </w:p>
    <w:p w14:paraId="247C2E92"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In case of death</w:t>
      </w:r>
      <w:r>
        <w:rPr>
          <w:rFonts w:eastAsia="Times New Roman"/>
        </w:rPr>
        <w:t xml:space="preserve">: </w:t>
      </w:r>
    </w:p>
    <w:p w14:paraId="4B136DF5"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 xml:space="preserve">Legal heir may: </w:t>
      </w:r>
    </w:p>
    <w:p w14:paraId="436E1E74" w14:textId="77777777" w:rsidR="00A544AA" w:rsidRDefault="00A544AA" w:rsidP="00A544AA">
      <w:pPr>
        <w:numPr>
          <w:ilvl w:val="3"/>
          <w:numId w:val="10"/>
        </w:numPr>
        <w:spacing w:before="100" w:beforeAutospacing="1" w:after="100" w:afterAutospacing="1" w:line="240" w:lineRule="auto"/>
        <w:rPr>
          <w:rFonts w:eastAsia="Times New Roman"/>
        </w:rPr>
      </w:pPr>
      <w:r>
        <w:rPr>
          <w:rFonts w:eastAsia="Times New Roman"/>
        </w:rPr>
        <w:t>Be bought out at fair value, or</w:t>
      </w:r>
    </w:p>
    <w:p w14:paraId="729328CC" w14:textId="77777777" w:rsidR="00A544AA" w:rsidRDefault="00A544AA" w:rsidP="00A544AA">
      <w:pPr>
        <w:numPr>
          <w:ilvl w:val="3"/>
          <w:numId w:val="10"/>
        </w:numPr>
        <w:spacing w:before="100" w:beforeAutospacing="1" w:after="100" w:afterAutospacing="1" w:line="240" w:lineRule="auto"/>
        <w:rPr>
          <w:rFonts w:eastAsia="Times New Roman"/>
        </w:rPr>
      </w:pPr>
      <w:r>
        <w:rPr>
          <w:rFonts w:eastAsia="Times New Roman"/>
        </w:rPr>
        <w:t>Retain stake passively with no operational rights (requires partner vote)</w:t>
      </w:r>
    </w:p>
    <w:p w14:paraId="12910017"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 xml:space="preserve">Remaining partners have </w:t>
      </w:r>
      <w:r>
        <w:rPr>
          <w:rStyle w:val="Strong"/>
          <w:rFonts w:eastAsia="Times New Roman"/>
        </w:rPr>
        <w:t>first right to buy</w:t>
      </w:r>
      <w:r>
        <w:rPr>
          <w:rFonts w:eastAsia="Times New Roman"/>
        </w:rPr>
        <w:t xml:space="preserve"> the exiting stake before any external sale</w:t>
      </w:r>
    </w:p>
    <w:p w14:paraId="5FBD2E12" w14:textId="77777777" w:rsidR="00A544AA" w:rsidRDefault="00A544AA">
      <w:pPr>
        <w:pStyle w:val="NormalWeb"/>
        <w:numPr>
          <w:ilvl w:val="0"/>
          <w:numId w:val="10"/>
        </w:numPr>
      </w:pPr>
      <w:r>
        <w:rPr>
          <w:rStyle w:val="Strong"/>
        </w:rPr>
        <w:t>Buyout and Transfer Policy (Post Lock-in)</w:t>
      </w:r>
    </w:p>
    <w:p w14:paraId="779D5FD2"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Valuation Method</w:t>
      </w:r>
      <w:r>
        <w:rPr>
          <w:rFonts w:eastAsia="Times New Roman"/>
        </w:rPr>
        <w:t xml:space="preserve">: </w:t>
      </w:r>
    </w:p>
    <w:p w14:paraId="6B720215"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Stake value = Book value of net assets + goodwill (3× average EBITDA of last 4 quarters)</w:t>
      </w:r>
    </w:p>
    <w:p w14:paraId="0FC6D725"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Partner’s share = % equity × total business valuation</w:t>
      </w:r>
    </w:p>
    <w:p w14:paraId="5A384F20"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Buyout Process</w:t>
      </w:r>
      <w:r>
        <w:rPr>
          <w:rFonts w:eastAsia="Times New Roman"/>
        </w:rPr>
        <w:t xml:space="preserve">: </w:t>
      </w:r>
    </w:p>
    <w:p w14:paraId="3D4070AB"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Exit notice with 90-day lead time</w:t>
      </w:r>
    </w:p>
    <w:p w14:paraId="6C2F1521"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Jointly approved independent CA conducts valuation in 30 days</w:t>
      </w:r>
    </w:p>
    <w:p w14:paraId="654A77FD"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Remaining partners have first right to buy within 15 days</w:t>
      </w:r>
    </w:p>
    <w:p w14:paraId="74EA1F6A"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Buyout completed within 90 days, unless deferred by agreement</w:t>
      </w:r>
    </w:p>
    <w:p w14:paraId="54C42509"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Transfer Restrictions</w:t>
      </w:r>
      <w:r>
        <w:rPr>
          <w:rFonts w:eastAsia="Times New Roman"/>
        </w:rPr>
        <w:t xml:space="preserve">: </w:t>
      </w:r>
    </w:p>
    <w:p w14:paraId="03CDA9F5" w14:textId="77777777" w:rsidR="00A544AA" w:rsidRDefault="00A544AA" w:rsidP="00A544AA">
      <w:pPr>
        <w:numPr>
          <w:ilvl w:val="2"/>
          <w:numId w:val="10"/>
        </w:numPr>
        <w:spacing w:before="100" w:beforeAutospacing="1" w:after="100" w:afterAutospacing="1" w:line="240" w:lineRule="auto"/>
        <w:rPr>
          <w:rFonts w:eastAsia="Times New Roman"/>
        </w:rPr>
      </w:pPr>
      <w:r>
        <w:rPr>
          <w:rStyle w:val="Strong"/>
          <w:rFonts w:eastAsia="Times New Roman"/>
        </w:rPr>
        <w:t>Internal transfers</w:t>
      </w:r>
      <w:r>
        <w:rPr>
          <w:rFonts w:eastAsia="Times New Roman"/>
        </w:rPr>
        <w:t xml:space="preserve"> allowed post lock-in with partner notification</w:t>
      </w:r>
    </w:p>
    <w:p w14:paraId="03FDCDC3" w14:textId="77777777" w:rsidR="00A544AA" w:rsidRDefault="00A544AA" w:rsidP="00A544AA">
      <w:pPr>
        <w:numPr>
          <w:ilvl w:val="2"/>
          <w:numId w:val="10"/>
        </w:numPr>
        <w:spacing w:before="100" w:beforeAutospacing="1" w:after="100" w:afterAutospacing="1" w:line="240" w:lineRule="auto"/>
        <w:rPr>
          <w:rFonts w:eastAsia="Times New Roman"/>
        </w:rPr>
      </w:pPr>
      <w:r>
        <w:rPr>
          <w:rStyle w:val="Strong"/>
          <w:rFonts w:eastAsia="Times New Roman"/>
        </w:rPr>
        <w:t>External transfers</w:t>
      </w:r>
      <w:r>
        <w:rPr>
          <w:rFonts w:eastAsia="Times New Roman"/>
        </w:rPr>
        <w:t xml:space="preserve"> </w:t>
      </w:r>
      <w:r>
        <w:rPr>
          <w:rStyle w:val="Strong"/>
          <w:rFonts w:eastAsia="Times New Roman"/>
        </w:rPr>
        <w:t>strongly discouraged</w:t>
      </w:r>
      <w:r>
        <w:rPr>
          <w:rFonts w:eastAsia="Times New Roman"/>
        </w:rPr>
        <w:t xml:space="preserve"> and allowed </w:t>
      </w:r>
      <w:r>
        <w:rPr>
          <w:rStyle w:val="Strong"/>
          <w:rFonts w:eastAsia="Times New Roman"/>
        </w:rPr>
        <w:t>only in financial distress or if internal buyout fails</w:t>
      </w:r>
      <w:r>
        <w:rPr>
          <w:rFonts w:eastAsia="Times New Roman"/>
        </w:rPr>
        <w:t>, with ≥70% approval</w:t>
      </w:r>
    </w:p>
    <w:p w14:paraId="3ACB5655"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Tag-Along Clause</w:t>
      </w:r>
      <w:r>
        <w:rPr>
          <w:rFonts w:eastAsia="Times New Roman"/>
        </w:rPr>
        <w:t xml:space="preserve">: </w:t>
      </w:r>
    </w:p>
    <w:p w14:paraId="25BBBFF7"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t>If a partner sells ≥25% stake externally, others may join the sale proportionally</w:t>
      </w:r>
    </w:p>
    <w:p w14:paraId="2EC02C57" w14:textId="77777777" w:rsidR="00A544AA" w:rsidRDefault="00A544AA" w:rsidP="00A544AA">
      <w:pPr>
        <w:numPr>
          <w:ilvl w:val="1"/>
          <w:numId w:val="10"/>
        </w:numPr>
        <w:spacing w:before="100" w:beforeAutospacing="1" w:after="100" w:afterAutospacing="1" w:line="240" w:lineRule="auto"/>
        <w:rPr>
          <w:rFonts w:eastAsia="Times New Roman"/>
        </w:rPr>
      </w:pPr>
      <w:r>
        <w:rPr>
          <w:rStyle w:val="Strong"/>
          <w:rFonts w:eastAsia="Times New Roman"/>
        </w:rPr>
        <w:t>Drag-Along Clause</w:t>
      </w:r>
      <w:r>
        <w:rPr>
          <w:rFonts w:eastAsia="Times New Roman"/>
        </w:rPr>
        <w:t xml:space="preserve">: </w:t>
      </w:r>
    </w:p>
    <w:p w14:paraId="1D71D5A2" w14:textId="77777777" w:rsidR="00A544AA" w:rsidRDefault="00A544AA" w:rsidP="00A544AA">
      <w:pPr>
        <w:numPr>
          <w:ilvl w:val="2"/>
          <w:numId w:val="10"/>
        </w:numPr>
        <w:spacing w:before="100" w:beforeAutospacing="1" w:after="100" w:afterAutospacing="1" w:line="240" w:lineRule="auto"/>
        <w:rPr>
          <w:rFonts w:eastAsia="Times New Roman"/>
        </w:rPr>
      </w:pPr>
      <w:r>
        <w:rPr>
          <w:rFonts w:eastAsia="Times New Roman"/>
        </w:rPr>
        <w:lastRenderedPageBreak/>
        <w:t>If ≥75% partners agree to sell full business or controlling interest, remaining partners must comply</w:t>
      </w:r>
    </w:p>
    <w:p w14:paraId="331D5B07"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 xml:space="preserve">Optional deferred </w:t>
      </w:r>
      <w:proofErr w:type="spellStart"/>
      <w:r>
        <w:rPr>
          <w:rFonts w:eastAsia="Times New Roman"/>
        </w:rPr>
        <w:t>payouts</w:t>
      </w:r>
      <w:proofErr w:type="spellEnd"/>
      <w:r>
        <w:rPr>
          <w:rFonts w:eastAsia="Times New Roman"/>
        </w:rPr>
        <w:t xml:space="preserve"> or conversion to fixed dividend-bearing stake (terms to be mutually decided when needed)</w:t>
      </w:r>
    </w:p>
    <w:p w14:paraId="0839F7B5" w14:textId="77777777" w:rsidR="00A544AA" w:rsidRDefault="00A544AA">
      <w:pPr>
        <w:pStyle w:val="NormalWeb"/>
        <w:numPr>
          <w:ilvl w:val="0"/>
          <w:numId w:val="10"/>
        </w:numPr>
      </w:pPr>
      <w:r>
        <w:rPr>
          <w:rStyle w:val="Strong"/>
        </w:rPr>
        <w:t>Conflict Resolution</w:t>
      </w:r>
    </w:p>
    <w:p w14:paraId="32E09E44"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Any deadlock to be resolved through external advisor/mediator acceptable to all 3 partners</w:t>
      </w:r>
    </w:p>
    <w:p w14:paraId="6E24636D" w14:textId="77777777" w:rsidR="00A544AA" w:rsidRDefault="00A544AA" w:rsidP="00A544AA">
      <w:pPr>
        <w:numPr>
          <w:ilvl w:val="1"/>
          <w:numId w:val="10"/>
        </w:numPr>
        <w:spacing w:before="100" w:beforeAutospacing="1" w:after="100" w:afterAutospacing="1" w:line="240" w:lineRule="auto"/>
        <w:rPr>
          <w:rFonts w:eastAsia="Times New Roman"/>
        </w:rPr>
      </w:pPr>
      <w:r>
        <w:rPr>
          <w:rFonts w:eastAsia="Times New Roman"/>
        </w:rPr>
        <w:t>Partner C will act as facilitator due to operational neutrality, unless conflict involves C directly</w:t>
      </w:r>
    </w:p>
    <w:p w14:paraId="3B03F11C" w14:textId="5EA199FB" w:rsidR="00A544AA" w:rsidRPr="00E51065" w:rsidRDefault="00A544AA" w:rsidP="00E51065">
      <w:pPr>
        <w:spacing w:after="0"/>
        <w:rPr>
          <w:rFonts w:eastAsia="Times New Roman"/>
        </w:rPr>
      </w:pPr>
      <w:r>
        <w:rPr>
          <w:rFonts w:eastAsia="Times New Roman"/>
          <w:noProof/>
        </w:rPr>
        <mc:AlternateContent>
          <mc:Choice Requires="wps">
            <w:drawing>
              <wp:inline distT="0" distB="0" distL="0" distR="0" wp14:anchorId="669CCD56" wp14:editId="287E521B">
                <wp:extent cx="5943600" cy="1270"/>
                <wp:effectExtent l="0" t="31750" r="0" b="36830"/>
                <wp:docPr id="14643839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C2E2495"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CP67NIPQIAAHkEAAAOAAAA&#13;&#10;AAAAAAAAAAAAADACAABkcnMvZTJvRG9jLnhtbFBLAQItABQABgAIAAAAIQCm+RM53AAAAAgBAAAP&#13;&#10;AAAAAAAAAAAAAAAAAJkEAABkcnMvZG93bnJldi54bWxQSwUGAAAAAAQABADzAAAAogUAAAAA&#13;&#10;" filled="f">
                <w10:anchorlock/>
              </v:rect>
            </w:pict>
          </mc:Fallback>
        </mc:AlternateContent>
      </w:r>
    </w:p>
    <w:sectPr w:rsidR="00A544AA" w:rsidRPr="00E51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Kalinga">
    <w:panose1 w:val="020B0502040204020203"/>
    <w:charset w:val="00"/>
    <w:family w:val="swiss"/>
    <w:pitch w:val="variable"/>
    <w:sig w:usb0="00080003" w:usb1="00000000" w:usb2="00000000" w:usb3="00000000" w:csb0="00000001" w:csb1="00000000"/>
  </w:font>
  <w:font w:name="Sendnya">
    <w:panose1 w:val="00000400000000000000"/>
    <w:charset w:val="01"/>
    <w:family w:val="roman"/>
    <w:pitch w:val="variable"/>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375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03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D6C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050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77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96D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63C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B3A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105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B46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123334">
    <w:abstractNumId w:val="9"/>
  </w:num>
  <w:num w:numId="2" w16cid:durableId="59596446">
    <w:abstractNumId w:val="1"/>
  </w:num>
  <w:num w:numId="3" w16cid:durableId="1530025349">
    <w:abstractNumId w:val="7"/>
  </w:num>
  <w:num w:numId="4" w16cid:durableId="2127116643">
    <w:abstractNumId w:val="3"/>
  </w:num>
  <w:num w:numId="5" w16cid:durableId="128131918">
    <w:abstractNumId w:val="6"/>
  </w:num>
  <w:num w:numId="6" w16cid:durableId="1469013876">
    <w:abstractNumId w:val="4"/>
  </w:num>
  <w:num w:numId="7" w16cid:durableId="1853764866">
    <w:abstractNumId w:val="5"/>
  </w:num>
  <w:num w:numId="8" w16cid:durableId="1356496831">
    <w:abstractNumId w:val="8"/>
  </w:num>
  <w:num w:numId="9" w16cid:durableId="1304971823">
    <w:abstractNumId w:val="2"/>
  </w:num>
  <w:num w:numId="10" w16cid:durableId="78658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AA"/>
    <w:rsid w:val="00A544AA"/>
    <w:rsid w:val="00D74192"/>
    <w:rsid w:val="00E51065"/>
  </w:rsids>
  <m:mathPr>
    <m:mathFont m:val="Cambria Math"/>
    <m:brkBin m:val="before"/>
    <m:brkBinSub m:val="--"/>
    <m:smallFrac m:val="0"/>
    <m:dispDef/>
    <m:lMargin m:val="0"/>
    <m:rMargin m:val="0"/>
    <m:defJc m:val="centerGroup"/>
    <m:wrapIndent m:val="1440"/>
    <m:intLim m:val="subSup"/>
    <m:naryLim m:val="undOvr"/>
  </m:mathPr>
  <w:themeFontLang w:val="en-GB" w:bidi="or-IN"/>
  <w:clrSchemeMapping w:bg1="light1" w:t1="dark1" w:bg2="light2" w:t2="dark2" w:accent1="accent1" w:accent2="accent2" w:accent3="accent3" w:accent4="accent4" w:accent5="accent5" w:accent6="accent6" w:hyperlink="hyperlink" w:followedHyperlink="followedHyperlink"/>
  <w:decimalSymbol w:val="."/>
  <w:listSeparator w:val=","/>
  <w14:docId w14:val="0472EA95"/>
  <w15:chartTrackingRefBased/>
  <w15:docId w15:val="{5413E5A5-12E0-944D-8EF7-3CD5AB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endnya"/>
    </w:rPr>
  </w:style>
  <w:style w:type="paragraph" w:styleId="Heading1">
    <w:name w:val="heading 1"/>
    <w:basedOn w:val="Normal"/>
    <w:next w:val="Normal"/>
    <w:link w:val="Heading1Char"/>
    <w:uiPriority w:val="9"/>
    <w:qFormat/>
    <w:rsid w:val="00A54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AA"/>
    <w:rPr>
      <w:rFonts w:eastAsiaTheme="majorEastAsia" w:cstheme="majorBidi"/>
      <w:color w:val="272727" w:themeColor="text1" w:themeTint="D8"/>
    </w:rPr>
  </w:style>
  <w:style w:type="paragraph" w:styleId="Title">
    <w:name w:val="Title"/>
    <w:basedOn w:val="Normal"/>
    <w:next w:val="Normal"/>
    <w:link w:val="TitleChar"/>
    <w:uiPriority w:val="10"/>
    <w:qFormat/>
    <w:rsid w:val="00A54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A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AA"/>
    <w:rPr>
      <w:rFonts w:cs="Sendnya"/>
      <w:i/>
      <w:iCs/>
      <w:color w:val="404040" w:themeColor="text1" w:themeTint="BF"/>
    </w:rPr>
  </w:style>
  <w:style w:type="paragraph" w:styleId="ListParagraph">
    <w:name w:val="List Paragraph"/>
    <w:basedOn w:val="Normal"/>
    <w:uiPriority w:val="34"/>
    <w:qFormat/>
    <w:rsid w:val="00A544AA"/>
    <w:pPr>
      <w:ind w:left="720"/>
      <w:contextualSpacing/>
    </w:pPr>
  </w:style>
  <w:style w:type="character" w:styleId="IntenseEmphasis">
    <w:name w:val="Intense Emphasis"/>
    <w:basedOn w:val="DefaultParagraphFont"/>
    <w:uiPriority w:val="21"/>
    <w:qFormat/>
    <w:rsid w:val="00A544AA"/>
    <w:rPr>
      <w:i/>
      <w:iCs/>
      <w:color w:val="0F4761" w:themeColor="accent1" w:themeShade="BF"/>
    </w:rPr>
  </w:style>
  <w:style w:type="paragraph" w:styleId="IntenseQuote">
    <w:name w:val="Intense Quote"/>
    <w:basedOn w:val="Normal"/>
    <w:next w:val="Normal"/>
    <w:link w:val="IntenseQuoteChar"/>
    <w:uiPriority w:val="30"/>
    <w:qFormat/>
    <w:rsid w:val="00A54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AA"/>
    <w:rPr>
      <w:rFonts w:cs="Sendnya"/>
      <w:i/>
      <w:iCs/>
      <w:color w:val="0F4761" w:themeColor="accent1" w:themeShade="BF"/>
    </w:rPr>
  </w:style>
  <w:style w:type="character" w:styleId="IntenseReference">
    <w:name w:val="Intense Reference"/>
    <w:basedOn w:val="DefaultParagraphFont"/>
    <w:uiPriority w:val="32"/>
    <w:qFormat/>
    <w:rsid w:val="00A544AA"/>
    <w:rPr>
      <w:b/>
      <w:bCs/>
      <w:smallCaps/>
      <w:color w:val="0F4761" w:themeColor="accent1" w:themeShade="BF"/>
      <w:spacing w:val="5"/>
    </w:rPr>
  </w:style>
  <w:style w:type="paragraph" w:styleId="NormalWeb">
    <w:name w:val="Normal (Web)"/>
    <w:basedOn w:val="Normal"/>
    <w:uiPriority w:val="99"/>
    <w:unhideWhenUsed/>
    <w:rsid w:val="00A544A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A544AA"/>
    <w:rPr>
      <w:b/>
      <w:bCs/>
    </w:rPr>
  </w:style>
  <w:style w:type="character" w:styleId="Emphasis">
    <w:name w:val="Emphasis"/>
    <w:basedOn w:val="DefaultParagraphFont"/>
    <w:uiPriority w:val="20"/>
    <w:qFormat/>
    <w:rsid w:val="00A54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5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14506">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Prakash Sahoo</dc:creator>
  <cp:keywords/>
  <dc:description/>
  <cp:lastModifiedBy>Lakshya Prakash Sahoo</cp:lastModifiedBy>
  <cp:revision>2</cp:revision>
  <dcterms:created xsi:type="dcterms:W3CDTF">2025-06-27T20:28:00Z</dcterms:created>
  <dcterms:modified xsi:type="dcterms:W3CDTF">2025-06-27T20:28:00Z</dcterms:modified>
</cp:coreProperties>
</file>