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Corporate Report: Coal India Limited (CIL) and its subsidiaries (including NLCIL and SCCL)</w:t>
      </w:r>
    </w:p>
    <w:p>
      <w:pPr>
        <w:jc w:val="center"/>
      </w:pPr>
      <w:r>
        <w:rPr>
          <w:b/>
          <w:sz w:val="28"/>
        </w:rPr>
        <w:t>Report Year: 2020-21</w:t>
      </w:r>
    </w:p>
    <w:p/>
    <w:p>
      <w:pPr>
        <w:pStyle w:val="Heading1"/>
        <w:pageBreakBefore w:val="0"/>
      </w:pPr>
      <w:r>
        <w:t>1. Executive Summary</w:t>
      </w:r>
    </w:p>
    <w:p>
      <w:r>
        <w:t>Safety is the utmost priority and is ingrained in the mission statement and business strategy of Coal India Limited (CIL) and its subsidiaries. The organization has established a well-defined Safety Policy and a multi-disciplinary Internal Safety Organization (ISO) across all subsidiaries to meticulously design operations, systems, and processes with regard to safety, conservation, sustainable development, and a clean environment. Workplace hazards are identified to prepare site-specific Safety Management Plans (SMPs), Principal Hazards Management Plans (PHMPs), and Standard Operating Procedures (SOPs) for each mine.</w:t>
        <w:br/>
        <w:br/>
        <w:t>During the year 2020-21, CIL and its subsidiaries pursued numerous safety measures, including safety audits, special safety drives, national dust prevention committee meetings, adoption of star rating systems for mines, and COVID-19 safety awareness drives with dedicated hospital beds and quarantine facilities. Technological advancements such as Mass Production Technology, Surface Miners, higher capacity HEMM, mechanized roof bolting, Environmental Tele Monitoring Systems (ETMS), and operator simulators were heavily deployed to enhance safety standards and work towards Zero Harm Potential (ZHP).</w:t>
        <w:br/>
        <w:br/>
        <w:t>Comprehensive statutory frameworks, rigorous training programs utilizing SIMTARS-accredited modules, robust mine emergency response systems, and advanced rescue services further reinforce the safety infrastructure. Accident statistics over the years indicate a continuous and sustained improvement in safety performance, reflected in decreasing trends of fatalities and serious injuries across CIL, NLCIL, and SCCL operations.</w:t>
      </w:r>
    </w:p>
    <w:p>
      <w:pPr>
        <w:pStyle w:val="Heading2"/>
      </w:pPr>
      <w:r>
        <w:t>Key Highlights</w:t>
      </w:r>
    </w:p>
    <w:p>
      <w:pPr>
        <w:pStyle w:val="ListBullet"/>
      </w:pPr>
      <w:r>
        <w:t>CIL established a multi-disciplinary Internal Safety Organization (ISO) in all subsidiaries to implement its well-defined Safety Policy and monitor safety plan execution.</w:t>
      </w:r>
    </w:p>
    <w:p>
      <w:pPr>
        <w:pStyle w:val="ListBullet"/>
      </w:pPr>
      <w:r>
        <w:t>Comprehensive safety audits for FY 2020-21 were initiated across all producing mines using multi-disciplinary Inter-Area Safety Audit teams.</w:t>
      </w:r>
    </w:p>
    <w:p>
      <w:pPr>
        <w:pStyle w:val="ListBullet"/>
      </w:pPr>
      <w:r>
        <w:t>Extensive deployment of advanced technologies including Universal Equipment Simulators, Surface Miners for blast-free mining, and GPS-based Operator Independent Truck Dispatch Systems (OITDS).</w:t>
      </w:r>
    </w:p>
    <w:p>
      <w:pPr>
        <w:pStyle w:val="ListBullet"/>
      </w:pPr>
      <w:r>
        <w:t>Maintenance of a robust Rescue Organization comprising Mine Rescue Stations (MRS), Rescue Rooms-with-Refresher Training (RRRT), and Rescue Rooms (RR) equipped with modern apparatus and Advanced Life Support ambulances.</w:t>
      </w:r>
    </w:p>
    <w:p>
      <w:pPr>
        <w:pStyle w:val="ListBullet"/>
      </w:pPr>
      <w:r>
        <w:t>Demonstrated a long-term downward trend in 5-yearly average fatalities and serious injuries since 1975, reflecting collective management-employee commitment and improved safety practices.</w:t>
      </w:r>
    </w:p>
    <w:p/>
    <w:p>
      <w:pPr>
        <w:pStyle w:val="Heading1"/>
      </w:pPr>
      <w:r>
        <w:t>2. Operational and Production Metrics</w:t>
      </w:r>
    </w:p>
    <w:p>
      <w:r>
        <w:t>No operational metrics available.</w:t>
      </w:r>
    </w:p>
    <w:p/>
    <w:p>
      <w:pPr>
        <w:pStyle w:val="Heading1"/>
      </w:pPr>
      <w:r>
        <w:t>3. Financial Overview</w:t>
      </w:r>
    </w:p>
    <w:p>
      <w:r>
        <w:rPr>
          <w:b/>
        </w:rPr>
        <w:t xml:space="preserve">Revenue: </w:t>
      </w:r>
      <w:r>
        <w:t>None</w:t>
      </w:r>
    </w:p>
    <w:p>
      <w:r>
        <w:rPr>
          <w:b/>
        </w:rPr>
        <w:t xml:space="preserve">Capital Expenditure: </w:t>
      </w:r>
      <w:r>
        <w:t>None</w:t>
      </w:r>
    </w:p>
    <w:p>
      <w:r>
        <w:rPr>
          <w:b/>
        </w:rPr>
        <w:t xml:space="preserve">Operating Costs: </w:t>
      </w:r>
      <w:r>
        <w:t>None</w:t>
      </w:r>
    </w:p>
    <w:p>
      <w:r>
        <w:rPr>
          <w:b/>
        </w:rPr>
        <w:t xml:space="preserve">Margins: </w:t>
      </w:r>
      <w:r>
        <w:t>None</w:t>
      </w:r>
    </w:p>
    <w:p>
      <w:pPr>
        <w:pStyle w:val="Heading1"/>
      </w:pPr>
      <w:r>
        <w:t>4. Exploration &amp; Development Projects</w:t>
      </w:r>
    </w:p>
    <w:p>
      <w:r>
        <w:t>No exploration projects available.</w:t>
      </w:r>
    </w:p>
    <w:p>
      <w:pPr>
        <w:pStyle w:val="Heading1"/>
      </w:pPr>
      <w:r>
        <w:t>5. Key Risks &amp; Challenges</w:t>
      </w:r>
    </w:p>
    <w:p>
      <w:pPr>
        <w:pStyle w:val="Heading2"/>
      </w:pPr>
      <w:r>
        <w:t>Mining Hazards (Roof-falls, Haulage, Explosives, Machinery)</w:t>
      </w:r>
    </w:p>
    <w:p>
      <w:r>
        <w:t>Description: Inherent operational and occupational hazards associated with underground and open-cast coal mining, specifically focusing on sensitive areas like roof-falls, haulage, explosives, and machinery.</w:t>
      </w:r>
    </w:p>
    <w:p>
      <w:r>
        <w:t>Mitigation: Formulation of site-specific Safety Management Plans (SMPs), Principal Hazards Management Plans (PHMPs), Trigger Action Response Plans (TARPs), Risk Assessment based Standard Operating Procedures (SOPs), and scientifically determined Rock Mass Rating (RMR) based Strata Support Systems.</w:t>
      </w:r>
    </w:p>
    <w:p>
      <w:pPr>
        <w:pStyle w:val="Heading2"/>
      </w:pPr>
      <w:r>
        <w:t>Mine Environment and Dust Hazards</w:t>
      </w:r>
    </w:p>
    <w:p>
      <w:r>
        <w:t>Description: Presence of harmful mine gases and dust concentrations leading to occupational health risks.</w:t>
      </w:r>
    </w:p>
    <w:p>
      <w:r>
        <w:t>Mitigation: Installation of Environmental Tele Monitoring Systems (ETMS), Local Methane Detectors (LMD), regular mine air sampling via Gas Chromatograph, Personal Dust Samplers (PDS), and Continuous Ambient Air Quality Monitoring Systems (CAAQMS).</w:t>
      </w:r>
    </w:p>
    <w:p>
      <w:pPr>
        <w:pStyle w:val="Heading2"/>
      </w:pPr>
      <w:r>
        <w:t>Water Danger</w:t>
      </w:r>
    </w:p>
    <w:p>
      <w:r>
        <w:t>Description: Risks associated with heavy rainfall, monsoon conditions, and proximity to water bodies during mining operations.</w:t>
      </w:r>
    </w:p>
    <w:p>
      <w:r>
        <w:t>Mitigation: Preparation of seam-wise Water Danger Plans, implementation of Monsoon Action Plans, installation of adequate pumping facilities and sumps, construction of embankments, and conducting inter-mine joint surveys.</w:t>
      </w:r>
    </w:p>
    <w:p>
      <w:pPr>
        <w:pStyle w:val="Heading2"/>
      </w:pPr>
      <w:r>
        <w:t>COVID-19 Pandemic</w:t>
      </w:r>
    </w:p>
    <w:p>
      <w:r>
        <w:t>Description: Health risks posed by the coronavirus to employees and their families across operational areas.</w:t>
      </w:r>
    </w:p>
    <w:p>
      <w:r>
        <w:t>Mitigation: Compliance with DGMS precautionary guidelines, organization of awareness programs, and setting aside 1,513 beds, 98 ICU beds, and 549 quarantine beds across 35 CIL hospitals.</w:t>
      </w:r>
    </w:p>
    <w:p>
      <w:pPr>
        <w:pStyle w:val="Heading1"/>
      </w:pPr>
      <w:r>
        <w:t>6. Strategic Outlook &amp; Targets</w:t>
      </w:r>
    </w:p>
    <w:p>
      <w:r>
        <w:t>To continuously improve safety standards and achieve 'Zero Harm Potential (ZHP)' across all mines by enhancing employee participation, adopting state-of-the-art Mass Production Technologies and Surface Miners, expanding digital and GPS-based monitoring systems like OITDS and e-surveillance, and strengthening vocational training and simulation-based skill development over the next 1-3 years.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Source File: chap13(Safety in Coal Mines)AnnualReport2021en.pdf</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