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AF5F7" w14:textId="77777777" w:rsidR="00AA2F67" w:rsidRPr="003665A3" w:rsidRDefault="00AA2F67" w:rsidP="00AA2F67">
      <w:pPr>
        <w:pBdr>
          <w:bottom w:val="single" w:sz="6" w:space="4" w:color="EAECEF"/>
        </w:pBdr>
        <w:shd w:val="clear" w:color="auto" w:fill="FFFFFF"/>
        <w:spacing w:before="100" w:beforeAutospacing="1" w:after="240"/>
        <w:jc w:val="center"/>
        <w:outlineLvl w:val="0"/>
        <w:rPr>
          <w:b/>
          <w:bCs/>
          <w:color w:val="24292E"/>
          <w:kern w:val="36"/>
          <w:sz w:val="36"/>
          <w:szCs w:val="48"/>
        </w:rPr>
      </w:pPr>
      <w:r w:rsidRPr="003665A3">
        <w:rPr>
          <w:b/>
          <w:bCs/>
          <w:color w:val="24292E"/>
          <w:kern w:val="36"/>
          <w:sz w:val="36"/>
          <w:szCs w:val="48"/>
        </w:rPr>
        <w:t>Thermal acclimation influences the growth and toxin production of freshwater cyanobacteria</w:t>
      </w:r>
    </w:p>
    <w:p w14:paraId="51DAD2BB" w14:textId="77777777" w:rsidR="00AA2F67" w:rsidRPr="003665A3" w:rsidRDefault="00AA2F67" w:rsidP="00AA2F67">
      <w:pPr>
        <w:shd w:val="clear" w:color="auto" w:fill="FFFFFF"/>
        <w:spacing w:before="360" w:after="240"/>
        <w:outlineLvl w:val="2"/>
        <w:rPr>
          <w:b/>
          <w:bCs/>
          <w:color w:val="24292E"/>
          <w:sz w:val="30"/>
          <w:szCs w:val="30"/>
        </w:rPr>
      </w:pPr>
      <w:r w:rsidRPr="003665A3">
        <w:rPr>
          <w:b/>
          <w:bCs/>
          <w:color w:val="24292E"/>
          <w:sz w:val="30"/>
          <w:szCs w:val="30"/>
        </w:rPr>
        <w:t>Authors</w:t>
      </w:r>
    </w:p>
    <w:p w14:paraId="52D32D25" w14:textId="77777777" w:rsidR="00AA2F67" w:rsidRPr="003665A3" w:rsidRDefault="00AA2F67" w:rsidP="00AA2F67">
      <w:r w:rsidRPr="003665A3">
        <w:t>Tamara J. Layden, Colin T. Kremer, Delaney L. Brubaker, Maeve A. Kolk, Jessica V. Trout-Haney, David A. Vasseur, and Samuel B. Fey.</w:t>
      </w:r>
    </w:p>
    <w:p w14:paraId="1F8A5670" w14:textId="77777777" w:rsidR="001F0704" w:rsidRPr="003665A3" w:rsidRDefault="001F0704" w:rsidP="008846B8">
      <w:pPr>
        <w:spacing w:afterLines="60" w:after="144"/>
        <w:contextualSpacing/>
        <w:jc w:val="center"/>
        <w:rPr>
          <w:sz w:val="28"/>
        </w:rPr>
      </w:pPr>
    </w:p>
    <w:p w14:paraId="02A6FD58" w14:textId="4C851082" w:rsidR="001D49E5" w:rsidRPr="003665A3" w:rsidRDefault="00155789" w:rsidP="008846B8">
      <w:pPr>
        <w:spacing w:afterLines="60" w:after="144"/>
        <w:contextualSpacing/>
        <w:jc w:val="center"/>
        <w:rPr>
          <w:sz w:val="32"/>
        </w:rPr>
      </w:pPr>
      <w:r w:rsidRPr="003665A3">
        <w:rPr>
          <w:i/>
          <w:sz w:val="32"/>
        </w:rPr>
        <w:t>L</w:t>
      </w:r>
      <w:r w:rsidR="008A5C3C" w:rsidRPr="003665A3">
        <w:rPr>
          <w:i/>
          <w:sz w:val="32"/>
        </w:rPr>
        <w:t>&amp;</w:t>
      </w:r>
      <w:r w:rsidRPr="003665A3">
        <w:rPr>
          <w:i/>
          <w:sz w:val="32"/>
        </w:rPr>
        <w:t>O-Letters</w:t>
      </w:r>
      <w:r w:rsidRPr="003665A3">
        <w:rPr>
          <w:sz w:val="32"/>
        </w:rPr>
        <w:t xml:space="preserve"> </w:t>
      </w:r>
      <w:r w:rsidR="001F0704" w:rsidRPr="003665A3">
        <w:rPr>
          <w:sz w:val="32"/>
        </w:rPr>
        <w:t>Me</w:t>
      </w:r>
      <w:bookmarkStart w:id="0" w:name="_GoBack"/>
      <w:bookmarkEnd w:id="0"/>
      <w:r w:rsidR="001F0704" w:rsidRPr="003665A3">
        <w:rPr>
          <w:sz w:val="32"/>
        </w:rPr>
        <w:t>tadata</w:t>
      </w:r>
      <w:r w:rsidR="00A33AAE" w:rsidRPr="003665A3">
        <w:rPr>
          <w:sz w:val="32"/>
        </w:rPr>
        <w:t xml:space="preserve"> File</w:t>
      </w:r>
    </w:p>
    <w:p w14:paraId="3BF1B06C" w14:textId="77777777" w:rsidR="008A5C3C" w:rsidRPr="003665A3" w:rsidRDefault="008A5C3C" w:rsidP="008846B8">
      <w:pPr>
        <w:spacing w:afterLines="60" w:after="144"/>
        <w:rPr>
          <w:b/>
          <w:sz w:val="16"/>
        </w:rPr>
      </w:pPr>
    </w:p>
    <w:p w14:paraId="4209E631" w14:textId="13C540D9" w:rsidR="00E030C6" w:rsidRPr="003665A3" w:rsidRDefault="00E030C6" w:rsidP="008846B8">
      <w:pPr>
        <w:spacing w:afterLines="60" w:after="144"/>
        <w:rPr>
          <w:color w:val="4F81BD" w:themeColor="accent1"/>
          <w:sz w:val="28"/>
        </w:rPr>
      </w:pPr>
      <w:r w:rsidRPr="003665A3">
        <w:rPr>
          <w:b/>
          <w:color w:val="4F81BD" w:themeColor="accent1"/>
          <w:sz w:val="28"/>
        </w:rPr>
        <w:t>Table 1.</w:t>
      </w:r>
      <w:r w:rsidRPr="003665A3">
        <w:rPr>
          <w:color w:val="4F81BD" w:themeColor="accent1"/>
          <w:sz w:val="28"/>
        </w:rPr>
        <w:t xml:space="preserve"> Description of the creation of</w:t>
      </w:r>
      <w:r w:rsidR="00BC2C5A" w:rsidRPr="003665A3">
        <w:rPr>
          <w:color w:val="4F81BD" w:themeColor="accent1"/>
          <w:sz w:val="28"/>
        </w:rPr>
        <w:t xml:space="preserve"> corresponding </w:t>
      </w:r>
      <w:r w:rsidRPr="003665A3">
        <w:rPr>
          <w:color w:val="4F81BD" w:themeColor="accent1"/>
          <w:sz w:val="28"/>
        </w:rPr>
        <w:t>dataset</w:t>
      </w:r>
      <w:r w:rsidR="00BC2C5A" w:rsidRPr="003665A3">
        <w:rPr>
          <w:color w:val="4F81BD" w:themeColor="accent1"/>
          <w:sz w:val="28"/>
        </w:rPr>
        <w:t>s</w:t>
      </w:r>
      <w:r w:rsidRPr="003665A3">
        <w:rPr>
          <w:color w:val="4F81BD" w:themeColor="accent1"/>
          <w:sz w:val="28"/>
        </w:rPr>
        <w: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3665A3" w14:paraId="5A7FFDDF" w14:textId="77777777" w:rsidTr="00FC53DF">
        <w:tc>
          <w:tcPr>
            <w:tcW w:w="2988" w:type="dxa"/>
          </w:tcPr>
          <w:p w14:paraId="10D0C02B" w14:textId="77777777" w:rsidR="00BC5644" w:rsidRPr="003665A3" w:rsidRDefault="00BC5644" w:rsidP="008846B8">
            <w:pPr>
              <w:pStyle w:val="NormalWeb"/>
              <w:spacing w:afterLines="60" w:after="144" w:afterAutospacing="0"/>
              <w:contextualSpacing/>
              <w:rPr>
                <w:b/>
                <w:sz w:val="22"/>
                <w:szCs w:val="22"/>
              </w:rPr>
            </w:pPr>
            <w:r w:rsidRPr="003665A3">
              <w:rPr>
                <w:b/>
                <w:sz w:val="22"/>
                <w:szCs w:val="22"/>
              </w:rPr>
              <w:t>Title</w:t>
            </w:r>
            <w:r w:rsidR="002C2CAD" w:rsidRPr="003665A3">
              <w:rPr>
                <w:b/>
                <w:sz w:val="22"/>
                <w:szCs w:val="22"/>
              </w:rPr>
              <w:t xml:space="preserve"> of dataset</w:t>
            </w:r>
          </w:p>
        </w:tc>
        <w:tc>
          <w:tcPr>
            <w:tcW w:w="7020" w:type="dxa"/>
          </w:tcPr>
          <w:p w14:paraId="3368E759" w14:textId="2438A835" w:rsidR="00BC5644" w:rsidRPr="003665A3" w:rsidRDefault="007B3D85" w:rsidP="005B34CA">
            <w:pPr>
              <w:spacing w:after="120"/>
              <w:contextualSpacing/>
              <w:rPr>
                <w:sz w:val="22"/>
                <w:szCs w:val="22"/>
              </w:rPr>
            </w:pPr>
            <w:r w:rsidRPr="003665A3">
              <w:rPr>
                <w:sz w:val="22"/>
                <w:szCs w:val="22"/>
              </w:rPr>
              <w:t>Cyanobacteria performance measures in response to laboratory-induced temperature perturbations conducted in 2019</w:t>
            </w:r>
          </w:p>
        </w:tc>
      </w:tr>
      <w:tr w:rsidR="003E320E" w:rsidRPr="003665A3" w14:paraId="1B9DA455" w14:textId="77777777" w:rsidTr="00FC53DF">
        <w:tc>
          <w:tcPr>
            <w:tcW w:w="2988" w:type="dxa"/>
          </w:tcPr>
          <w:p w14:paraId="7B3B4B38" w14:textId="77777777" w:rsidR="003E320E" w:rsidRPr="003665A3" w:rsidRDefault="003E320E" w:rsidP="008846B8">
            <w:pPr>
              <w:pStyle w:val="NormalWeb"/>
              <w:spacing w:afterLines="60" w:after="144" w:afterAutospacing="0"/>
              <w:contextualSpacing/>
              <w:rPr>
                <w:b/>
                <w:sz w:val="22"/>
                <w:szCs w:val="22"/>
              </w:rPr>
            </w:pPr>
            <w:r w:rsidRPr="003665A3">
              <w:rPr>
                <w:b/>
                <w:sz w:val="22"/>
                <w:szCs w:val="22"/>
              </w:rPr>
              <w:t>URL of dataset</w:t>
            </w:r>
          </w:p>
        </w:tc>
        <w:tc>
          <w:tcPr>
            <w:tcW w:w="7020" w:type="dxa"/>
          </w:tcPr>
          <w:p w14:paraId="2CC1A32C" w14:textId="2BD95916" w:rsidR="003E320E" w:rsidRPr="003665A3" w:rsidRDefault="002032A6" w:rsidP="008846B8">
            <w:pPr>
              <w:spacing w:afterLines="60" w:after="144"/>
              <w:contextualSpacing/>
              <w:rPr>
                <w:i/>
                <w:sz w:val="22"/>
                <w:szCs w:val="22"/>
              </w:rPr>
            </w:pPr>
            <w:hyperlink r:id="rId8" w:history="1">
              <w:r w:rsidR="00450C26" w:rsidRPr="003665A3">
                <w:rPr>
                  <w:rStyle w:val="Hyperlink"/>
                  <w:sz w:val="22"/>
                  <w:szCs w:val="22"/>
                </w:rPr>
                <w:t>https://github.com/laydent/thermal_acc_and_cyanos</w:t>
              </w:r>
            </w:hyperlink>
          </w:p>
        </w:tc>
      </w:tr>
      <w:tr w:rsidR="00647AF0" w:rsidRPr="003665A3" w14:paraId="502C938E" w14:textId="77777777" w:rsidTr="00FC53DF">
        <w:tc>
          <w:tcPr>
            <w:tcW w:w="2988" w:type="dxa"/>
          </w:tcPr>
          <w:p w14:paraId="09B60016" w14:textId="77777777" w:rsidR="00647AF0" w:rsidRPr="003665A3" w:rsidRDefault="00647AF0" w:rsidP="008846B8">
            <w:pPr>
              <w:pStyle w:val="NormalWeb"/>
              <w:spacing w:afterLines="60" w:after="144" w:afterAutospacing="0"/>
              <w:contextualSpacing/>
              <w:rPr>
                <w:b/>
                <w:sz w:val="22"/>
                <w:szCs w:val="22"/>
              </w:rPr>
            </w:pPr>
            <w:r w:rsidRPr="003665A3">
              <w:rPr>
                <w:b/>
                <w:sz w:val="22"/>
                <w:szCs w:val="22"/>
              </w:rPr>
              <w:t>Abstract</w:t>
            </w:r>
          </w:p>
        </w:tc>
        <w:tc>
          <w:tcPr>
            <w:tcW w:w="7020" w:type="dxa"/>
          </w:tcPr>
          <w:p w14:paraId="262E101B" w14:textId="4C70A573" w:rsidR="00241B0B" w:rsidRPr="003665A3" w:rsidRDefault="005B34CA" w:rsidP="005B34CA">
            <w:pPr>
              <w:spacing w:after="120"/>
              <w:rPr>
                <w:sz w:val="22"/>
                <w:szCs w:val="22"/>
              </w:rPr>
            </w:pPr>
            <w:r w:rsidRPr="003665A3">
              <w:rPr>
                <w:sz w:val="22"/>
                <w:szCs w:val="22"/>
              </w:rPr>
              <w:t xml:space="preserve">Understanding how altered temperature regimes affect the onset of harmful cyanobacterial blooms is essential for managing aquatic ecosystems amidst ongoing climate warming. This is difficult because algal growth and performance can depend on both current and past environments, as plastic physiological changes (acclimation) may lag behind environmental change. Here, we investigate how temperature variation (on sub-weekly time-scales) affects population growth and toxin production given acclimation. We studied four ecologically important freshwater cyanobacterial strains under nutrient-limited and -replete conditions, measuring the growth rate of populations fully acclimated to a range of temperatures. Cold-acclimated populations outperformed fully-acclimated populations across 65% of thermal environments, while hot-acclimated populations underperformed across 75% of thermal environments. Cold-acclimated </w:t>
            </w:r>
            <w:r w:rsidRPr="003665A3">
              <w:rPr>
                <w:i/>
                <w:sz w:val="22"/>
                <w:szCs w:val="22"/>
              </w:rPr>
              <w:t xml:space="preserve">Microcystis aeruginosa </w:t>
            </w:r>
            <w:r w:rsidRPr="003665A3">
              <w:rPr>
                <w:sz w:val="22"/>
                <w:szCs w:val="22"/>
              </w:rPr>
              <w:t>produced ~2.5-fold more microcystin per day than hot-acclimated populations following the same temperature perturbation. Our results suggest that thermal variation and physiology interact in underappreciated ways to influence cyanobacterial growth, toxin production, and likely bloom formation.</w:t>
            </w:r>
          </w:p>
        </w:tc>
      </w:tr>
      <w:tr w:rsidR="00647AF0" w:rsidRPr="003665A3" w14:paraId="7825EB95" w14:textId="77777777" w:rsidTr="00FC53DF">
        <w:tc>
          <w:tcPr>
            <w:tcW w:w="2988" w:type="dxa"/>
          </w:tcPr>
          <w:p w14:paraId="59258DD2" w14:textId="77777777" w:rsidR="00647AF0" w:rsidRPr="003665A3" w:rsidRDefault="00647AF0" w:rsidP="008846B8">
            <w:pPr>
              <w:pStyle w:val="NormalWeb"/>
              <w:spacing w:afterLines="60" w:after="144" w:afterAutospacing="0"/>
              <w:contextualSpacing/>
              <w:rPr>
                <w:b/>
                <w:sz w:val="22"/>
                <w:szCs w:val="22"/>
              </w:rPr>
            </w:pPr>
            <w:r w:rsidRPr="003665A3">
              <w:rPr>
                <w:b/>
                <w:sz w:val="22"/>
                <w:szCs w:val="22"/>
              </w:rPr>
              <w:t>Keywords</w:t>
            </w:r>
          </w:p>
        </w:tc>
        <w:tc>
          <w:tcPr>
            <w:tcW w:w="7020" w:type="dxa"/>
          </w:tcPr>
          <w:p w14:paraId="10BE85F6" w14:textId="7518A9A9" w:rsidR="00647AF0" w:rsidRPr="003665A3" w:rsidRDefault="00000A9D" w:rsidP="008846B8">
            <w:pPr>
              <w:pStyle w:val="NormalWeb"/>
              <w:spacing w:afterLines="60" w:after="144" w:afterAutospacing="0"/>
              <w:contextualSpacing/>
              <w:rPr>
                <w:i/>
                <w:sz w:val="22"/>
                <w:szCs w:val="22"/>
              </w:rPr>
            </w:pPr>
            <w:r w:rsidRPr="003665A3">
              <w:rPr>
                <w:sz w:val="22"/>
                <w:szCs w:val="22"/>
              </w:rPr>
              <w:t>P</w:t>
            </w:r>
            <w:r w:rsidR="00450C26" w:rsidRPr="003665A3">
              <w:rPr>
                <w:sz w:val="22"/>
                <w:szCs w:val="22"/>
              </w:rPr>
              <w:t>henotypic plasticity, environmental variability, harmful algal blooms, temperature, acclimation, cyanobacteria</w:t>
            </w:r>
          </w:p>
        </w:tc>
      </w:tr>
      <w:tr w:rsidR="00647AF0" w:rsidRPr="003665A3" w14:paraId="39241F2E" w14:textId="77777777" w:rsidTr="00FC53DF">
        <w:tc>
          <w:tcPr>
            <w:tcW w:w="2988" w:type="dxa"/>
          </w:tcPr>
          <w:p w14:paraId="61CB9C54" w14:textId="77777777" w:rsidR="00647AF0" w:rsidRPr="003665A3" w:rsidRDefault="008D563A" w:rsidP="008846B8">
            <w:pPr>
              <w:pStyle w:val="NormalWeb"/>
              <w:spacing w:afterLines="60" w:after="144" w:afterAutospacing="0"/>
              <w:contextualSpacing/>
              <w:rPr>
                <w:b/>
                <w:sz w:val="22"/>
                <w:szCs w:val="22"/>
              </w:rPr>
            </w:pPr>
            <w:r w:rsidRPr="003665A3">
              <w:rPr>
                <w:b/>
                <w:sz w:val="22"/>
                <w:szCs w:val="22"/>
              </w:rPr>
              <w:t>L</w:t>
            </w:r>
            <w:r w:rsidR="006224DE" w:rsidRPr="003665A3">
              <w:rPr>
                <w:b/>
                <w:sz w:val="22"/>
                <w:szCs w:val="22"/>
              </w:rPr>
              <w:t xml:space="preserve">ead author </w:t>
            </w:r>
            <w:r w:rsidRPr="003665A3">
              <w:rPr>
                <w:b/>
                <w:sz w:val="22"/>
                <w:szCs w:val="22"/>
              </w:rPr>
              <w:t xml:space="preserve">for the dataset </w:t>
            </w:r>
          </w:p>
        </w:tc>
        <w:tc>
          <w:tcPr>
            <w:tcW w:w="7020" w:type="dxa"/>
          </w:tcPr>
          <w:p w14:paraId="5B391D41" w14:textId="077B7586" w:rsidR="00647AF0" w:rsidRPr="003665A3" w:rsidRDefault="007406FA" w:rsidP="008846B8">
            <w:pPr>
              <w:pStyle w:val="NormalWeb"/>
              <w:spacing w:afterLines="60" w:after="144" w:afterAutospacing="0"/>
              <w:contextualSpacing/>
              <w:rPr>
                <w:sz w:val="22"/>
                <w:szCs w:val="22"/>
              </w:rPr>
            </w:pPr>
            <w:r w:rsidRPr="003665A3">
              <w:rPr>
                <w:sz w:val="22"/>
                <w:szCs w:val="22"/>
              </w:rPr>
              <w:t>Tamara Layden</w:t>
            </w:r>
          </w:p>
        </w:tc>
      </w:tr>
      <w:tr w:rsidR="00647AF0" w:rsidRPr="003665A3" w14:paraId="24C72A6C" w14:textId="77777777" w:rsidTr="00FC53DF">
        <w:trPr>
          <w:trHeight w:val="332"/>
        </w:trPr>
        <w:tc>
          <w:tcPr>
            <w:tcW w:w="2988" w:type="dxa"/>
          </w:tcPr>
          <w:p w14:paraId="39CCF603" w14:textId="77777777" w:rsidR="00647AF0" w:rsidRPr="003665A3" w:rsidRDefault="008D563A" w:rsidP="008846B8">
            <w:pPr>
              <w:pStyle w:val="NormalWeb"/>
              <w:spacing w:afterLines="60" w:after="144" w:afterAutospacing="0"/>
              <w:contextualSpacing/>
              <w:rPr>
                <w:b/>
                <w:sz w:val="22"/>
                <w:szCs w:val="22"/>
              </w:rPr>
            </w:pPr>
            <w:r w:rsidRPr="003665A3">
              <w:rPr>
                <w:b/>
                <w:sz w:val="22"/>
                <w:szCs w:val="22"/>
              </w:rPr>
              <w:t>Title and p</w:t>
            </w:r>
            <w:r w:rsidR="00647AF0" w:rsidRPr="003665A3">
              <w:rPr>
                <w:b/>
                <w:sz w:val="22"/>
                <w:szCs w:val="22"/>
              </w:rPr>
              <w:t>osition</w:t>
            </w:r>
            <w:r w:rsidR="002C2CAD" w:rsidRPr="003665A3">
              <w:rPr>
                <w:b/>
                <w:sz w:val="22"/>
                <w:szCs w:val="22"/>
              </w:rPr>
              <w:t xml:space="preserve"> of </w:t>
            </w:r>
            <w:r w:rsidRPr="003665A3">
              <w:rPr>
                <w:b/>
                <w:sz w:val="22"/>
                <w:szCs w:val="22"/>
              </w:rPr>
              <w:t>lead</w:t>
            </w:r>
            <w:r w:rsidR="00D60162" w:rsidRPr="003665A3">
              <w:rPr>
                <w:b/>
                <w:sz w:val="22"/>
                <w:szCs w:val="22"/>
              </w:rPr>
              <w:t xml:space="preserve"> </w:t>
            </w:r>
            <w:r w:rsidR="006224DE" w:rsidRPr="003665A3">
              <w:rPr>
                <w:b/>
                <w:sz w:val="22"/>
                <w:szCs w:val="22"/>
              </w:rPr>
              <w:t>author</w:t>
            </w:r>
          </w:p>
        </w:tc>
        <w:tc>
          <w:tcPr>
            <w:tcW w:w="7020" w:type="dxa"/>
          </w:tcPr>
          <w:p w14:paraId="0706A3D1" w14:textId="6C842311" w:rsidR="00647AF0" w:rsidRPr="003665A3" w:rsidRDefault="007406FA" w:rsidP="008846B8">
            <w:pPr>
              <w:pStyle w:val="NormalWeb"/>
              <w:spacing w:afterLines="60" w:after="144" w:afterAutospacing="0"/>
              <w:contextualSpacing/>
              <w:rPr>
                <w:sz w:val="22"/>
                <w:szCs w:val="22"/>
              </w:rPr>
            </w:pPr>
            <w:r w:rsidRPr="003665A3">
              <w:rPr>
                <w:sz w:val="22"/>
                <w:szCs w:val="22"/>
              </w:rPr>
              <w:t>Lab manager</w:t>
            </w:r>
          </w:p>
        </w:tc>
      </w:tr>
      <w:tr w:rsidR="00647AF0" w:rsidRPr="003665A3" w14:paraId="3A9BB0F3" w14:textId="77777777" w:rsidTr="00FC53DF">
        <w:tc>
          <w:tcPr>
            <w:tcW w:w="2988" w:type="dxa"/>
          </w:tcPr>
          <w:p w14:paraId="07B32C22" w14:textId="77777777" w:rsidR="00647AF0" w:rsidRPr="003665A3" w:rsidRDefault="008D563A" w:rsidP="008846B8">
            <w:pPr>
              <w:pStyle w:val="NormalWeb"/>
              <w:spacing w:afterLines="60" w:after="144" w:afterAutospacing="0"/>
              <w:contextualSpacing/>
              <w:rPr>
                <w:b/>
                <w:sz w:val="22"/>
                <w:szCs w:val="22"/>
              </w:rPr>
            </w:pPr>
            <w:r w:rsidRPr="003665A3">
              <w:rPr>
                <w:b/>
                <w:sz w:val="22"/>
                <w:szCs w:val="22"/>
              </w:rPr>
              <w:t>Organization and a</w:t>
            </w:r>
            <w:r w:rsidR="00647AF0" w:rsidRPr="003665A3">
              <w:rPr>
                <w:b/>
                <w:sz w:val="22"/>
                <w:szCs w:val="22"/>
              </w:rPr>
              <w:t>ddress</w:t>
            </w:r>
            <w:r w:rsidR="002C2CAD" w:rsidRPr="003665A3">
              <w:rPr>
                <w:b/>
                <w:sz w:val="22"/>
                <w:szCs w:val="22"/>
              </w:rPr>
              <w:t xml:space="preserve"> of </w:t>
            </w:r>
            <w:r w:rsidRPr="003665A3">
              <w:rPr>
                <w:b/>
                <w:sz w:val="22"/>
                <w:szCs w:val="22"/>
              </w:rPr>
              <w:t>lead</w:t>
            </w:r>
            <w:r w:rsidR="00D60162" w:rsidRPr="003665A3">
              <w:rPr>
                <w:b/>
                <w:sz w:val="22"/>
                <w:szCs w:val="22"/>
              </w:rPr>
              <w:t xml:space="preserve"> </w:t>
            </w:r>
            <w:r w:rsidR="006224DE" w:rsidRPr="003665A3">
              <w:rPr>
                <w:b/>
                <w:sz w:val="22"/>
                <w:szCs w:val="22"/>
              </w:rPr>
              <w:t>author</w:t>
            </w:r>
          </w:p>
        </w:tc>
        <w:tc>
          <w:tcPr>
            <w:tcW w:w="7020" w:type="dxa"/>
          </w:tcPr>
          <w:p w14:paraId="7FB0BEFB" w14:textId="4872097C" w:rsidR="00BE3E9D" w:rsidRPr="003665A3" w:rsidRDefault="00450C26" w:rsidP="008846B8">
            <w:pPr>
              <w:pStyle w:val="NormalWeb"/>
              <w:spacing w:afterLines="60" w:after="144" w:afterAutospacing="0"/>
              <w:contextualSpacing/>
              <w:rPr>
                <w:sz w:val="22"/>
                <w:szCs w:val="22"/>
              </w:rPr>
            </w:pPr>
            <w:r w:rsidRPr="003665A3">
              <w:rPr>
                <w:sz w:val="22"/>
                <w:szCs w:val="22"/>
              </w:rPr>
              <w:t>Reed College, 3203 SE Woodstock Blvd</w:t>
            </w:r>
            <w:r w:rsidR="006C7930" w:rsidRPr="003665A3">
              <w:rPr>
                <w:sz w:val="22"/>
                <w:szCs w:val="22"/>
              </w:rPr>
              <w:t>, Portland, OR 97202</w:t>
            </w:r>
          </w:p>
        </w:tc>
      </w:tr>
      <w:tr w:rsidR="00647AF0" w:rsidRPr="003665A3" w14:paraId="366A793D" w14:textId="77777777" w:rsidTr="00FC53DF">
        <w:tc>
          <w:tcPr>
            <w:tcW w:w="2988" w:type="dxa"/>
          </w:tcPr>
          <w:p w14:paraId="01E0273C" w14:textId="77777777" w:rsidR="00647AF0" w:rsidRPr="003665A3" w:rsidRDefault="00D60162" w:rsidP="008846B8">
            <w:pPr>
              <w:pStyle w:val="NormalWeb"/>
              <w:spacing w:afterLines="60" w:after="144" w:afterAutospacing="0"/>
              <w:contextualSpacing/>
              <w:rPr>
                <w:b/>
                <w:sz w:val="22"/>
                <w:szCs w:val="22"/>
              </w:rPr>
            </w:pPr>
            <w:r w:rsidRPr="003665A3">
              <w:rPr>
                <w:b/>
                <w:sz w:val="22"/>
                <w:szCs w:val="22"/>
              </w:rPr>
              <w:t>Email a</w:t>
            </w:r>
            <w:r w:rsidR="00647AF0" w:rsidRPr="003665A3">
              <w:rPr>
                <w:b/>
                <w:sz w:val="22"/>
                <w:szCs w:val="22"/>
              </w:rPr>
              <w:t>ddress</w:t>
            </w:r>
            <w:r w:rsidR="002C2CAD" w:rsidRPr="003665A3">
              <w:rPr>
                <w:b/>
                <w:sz w:val="22"/>
                <w:szCs w:val="22"/>
              </w:rPr>
              <w:t xml:space="preserve"> of </w:t>
            </w:r>
            <w:r w:rsidR="008D563A" w:rsidRPr="003665A3">
              <w:rPr>
                <w:b/>
                <w:sz w:val="22"/>
                <w:szCs w:val="22"/>
              </w:rPr>
              <w:t>lead</w:t>
            </w:r>
            <w:r w:rsidRPr="003665A3">
              <w:rPr>
                <w:b/>
                <w:sz w:val="22"/>
                <w:szCs w:val="22"/>
              </w:rPr>
              <w:t xml:space="preserve"> </w:t>
            </w:r>
            <w:r w:rsidR="006224DE" w:rsidRPr="003665A3">
              <w:rPr>
                <w:b/>
                <w:sz w:val="22"/>
                <w:szCs w:val="22"/>
              </w:rPr>
              <w:t>author</w:t>
            </w:r>
          </w:p>
        </w:tc>
        <w:tc>
          <w:tcPr>
            <w:tcW w:w="7020" w:type="dxa"/>
          </w:tcPr>
          <w:p w14:paraId="0F4DCAD1" w14:textId="40B67613" w:rsidR="00647AF0" w:rsidRPr="003665A3" w:rsidRDefault="007406FA" w:rsidP="008846B8">
            <w:pPr>
              <w:pStyle w:val="NormalWeb"/>
              <w:spacing w:afterLines="60" w:after="144" w:afterAutospacing="0"/>
              <w:contextualSpacing/>
              <w:rPr>
                <w:sz w:val="22"/>
                <w:szCs w:val="22"/>
              </w:rPr>
            </w:pPr>
            <w:r w:rsidRPr="003665A3">
              <w:rPr>
                <w:sz w:val="22"/>
                <w:szCs w:val="22"/>
              </w:rPr>
              <w:t>laydent@reed.edu</w:t>
            </w:r>
          </w:p>
        </w:tc>
      </w:tr>
      <w:tr w:rsidR="00647AF0" w:rsidRPr="003665A3" w14:paraId="6452454D" w14:textId="77777777" w:rsidTr="00FC53DF">
        <w:tc>
          <w:tcPr>
            <w:tcW w:w="2988" w:type="dxa"/>
          </w:tcPr>
          <w:p w14:paraId="2DB9E451" w14:textId="77777777" w:rsidR="00647AF0" w:rsidRPr="003665A3" w:rsidRDefault="008D563A" w:rsidP="008846B8">
            <w:pPr>
              <w:pStyle w:val="NormalWeb"/>
              <w:spacing w:afterLines="60" w:after="144" w:afterAutospacing="0"/>
              <w:contextualSpacing/>
              <w:rPr>
                <w:b/>
                <w:sz w:val="22"/>
                <w:szCs w:val="22"/>
              </w:rPr>
            </w:pPr>
            <w:r w:rsidRPr="003665A3">
              <w:rPr>
                <w:b/>
                <w:sz w:val="22"/>
                <w:szCs w:val="22"/>
              </w:rPr>
              <w:t xml:space="preserve">Additional authors or contributors to the dataset </w:t>
            </w:r>
          </w:p>
        </w:tc>
        <w:tc>
          <w:tcPr>
            <w:tcW w:w="7020" w:type="dxa"/>
          </w:tcPr>
          <w:p w14:paraId="4F78B205" w14:textId="3D6BF4E2" w:rsidR="00647AF0" w:rsidRPr="003665A3" w:rsidRDefault="006C7930" w:rsidP="008846B8">
            <w:pPr>
              <w:pStyle w:val="NormalWeb"/>
              <w:spacing w:afterLines="60" w:after="144" w:afterAutospacing="0"/>
              <w:contextualSpacing/>
              <w:rPr>
                <w:sz w:val="22"/>
                <w:szCs w:val="22"/>
              </w:rPr>
            </w:pPr>
            <w:r w:rsidRPr="003665A3">
              <w:rPr>
                <w:sz w:val="22"/>
                <w:szCs w:val="22"/>
              </w:rPr>
              <w:t>Colin Kremer, Delaney L. Brubaker, Maeve Kolk, Samuel Fey</w:t>
            </w:r>
          </w:p>
        </w:tc>
      </w:tr>
      <w:tr w:rsidR="008D563A" w:rsidRPr="003665A3" w14:paraId="7CAAB257" w14:textId="77777777" w:rsidTr="00FC53DF">
        <w:tc>
          <w:tcPr>
            <w:tcW w:w="2988" w:type="dxa"/>
          </w:tcPr>
          <w:p w14:paraId="433992DC" w14:textId="77777777" w:rsidR="008D563A" w:rsidRPr="003665A3" w:rsidRDefault="008D563A" w:rsidP="008846B8">
            <w:pPr>
              <w:pStyle w:val="NormalWeb"/>
              <w:spacing w:afterLines="60" w:after="144" w:afterAutospacing="0"/>
              <w:contextualSpacing/>
              <w:rPr>
                <w:b/>
                <w:sz w:val="22"/>
                <w:szCs w:val="22"/>
              </w:rPr>
            </w:pPr>
            <w:r w:rsidRPr="003665A3">
              <w:rPr>
                <w:b/>
                <w:sz w:val="22"/>
                <w:szCs w:val="22"/>
              </w:rPr>
              <w:t>Organization associated with the data</w:t>
            </w:r>
          </w:p>
        </w:tc>
        <w:tc>
          <w:tcPr>
            <w:tcW w:w="7020" w:type="dxa"/>
          </w:tcPr>
          <w:p w14:paraId="12C3CD61" w14:textId="57D799D8" w:rsidR="008D563A" w:rsidRPr="003665A3" w:rsidRDefault="007406FA" w:rsidP="008846B8">
            <w:pPr>
              <w:pStyle w:val="NormalWeb"/>
              <w:spacing w:afterLines="60" w:after="144" w:afterAutospacing="0"/>
              <w:contextualSpacing/>
              <w:rPr>
                <w:sz w:val="22"/>
                <w:szCs w:val="22"/>
              </w:rPr>
            </w:pPr>
            <w:r w:rsidRPr="003665A3">
              <w:rPr>
                <w:sz w:val="22"/>
                <w:szCs w:val="22"/>
              </w:rPr>
              <w:t>NA</w:t>
            </w:r>
          </w:p>
        </w:tc>
      </w:tr>
      <w:tr w:rsidR="00FC53DF" w:rsidRPr="003665A3" w14:paraId="68E786EB" w14:textId="77777777" w:rsidTr="00FC53DF">
        <w:tc>
          <w:tcPr>
            <w:tcW w:w="2988" w:type="dxa"/>
          </w:tcPr>
          <w:p w14:paraId="3B88A4F9" w14:textId="77777777" w:rsidR="00FC53DF" w:rsidRPr="003665A3" w:rsidRDefault="00FC53DF" w:rsidP="008846B8">
            <w:pPr>
              <w:pStyle w:val="NormalWeb"/>
              <w:spacing w:afterLines="60" w:after="144" w:afterAutospacing="0"/>
              <w:contextualSpacing/>
              <w:rPr>
                <w:b/>
                <w:sz w:val="22"/>
                <w:szCs w:val="22"/>
              </w:rPr>
            </w:pPr>
            <w:r w:rsidRPr="003665A3">
              <w:rPr>
                <w:b/>
                <w:sz w:val="22"/>
                <w:szCs w:val="22"/>
              </w:rPr>
              <w:lastRenderedPageBreak/>
              <w:t>Funding</w:t>
            </w:r>
          </w:p>
        </w:tc>
        <w:tc>
          <w:tcPr>
            <w:tcW w:w="7020" w:type="dxa"/>
          </w:tcPr>
          <w:p w14:paraId="042DB78E" w14:textId="4C9E4204" w:rsidR="00FC53DF" w:rsidRPr="003665A3" w:rsidRDefault="006C7930" w:rsidP="008846B8">
            <w:pPr>
              <w:pStyle w:val="NormalWeb"/>
              <w:spacing w:afterLines="60" w:after="144" w:afterAutospacing="0"/>
              <w:contextualSpacing/>
              <w:rPr>
                <w:sz w:val="22"/>
                <w:szCs w:val="22"/>
              </w:rPr>
            </w:pPr>
            <w:r w:rsidRPr="003665A3">
              <w:rPr>
                <w:sz w:val="22"/>
                <w:szCs w:val="22"/>
              </w:rPr>
              <w:t>Samuel Fey; funders include Reed College and the National Science Foundation (NSF DEB 1856415 and NSF DEB 1856279)</w:t>
            </w:r>
          </w:p>
        </w:tc>
      </w:tr>
      <w:tr w:rsidR="008D563A" w:rsidRPr="003665A3" w14:paraId="2C318789" w14:textId="77777777" w:rsidTr="00FC53DF">
        <w:tc>
          <w:tcPr>
            <w:tcW w:w="2988" w:type="dxa"/>
          </w:tcPr>
          <w:p w14:paraId="152FD864" w14:textId="77777777" w:rsidR="008D563A" w:rsidRPr="003665A3" w:rsidRDefault="008D563A" w:rsidP="008846B8">
            <w:pPr>
              <w:pStyle w:val="NormalWeb"/>
              <w:spacing w:afterLines="60" w:after="144" w:afterAutospacing="0"/>
              <w:contextualSpacing/>
              <w:rPr>
                <w:b/>
                <w:sz w:val="22"/>
                <w:szCs w:val="22"/>
              </w:rPr>
            </w:pPr>
            <w:r w:rsidRPr="003665A3">
              <w:rPr>
                <w:b/>
                <w:sz w:val="22"/>
                <w:szCs w:val="22"/>
              </w:rPr>
              <w:t>License</w:t>
            </w:r>
          </w:p>
        </w:tc>
        <w:tc>
          <w:tcPr>
            <w:tcW w:w="7020" w:type="dxa"/>
          </w:tcPr>
          <w:p w14:paraId="678D20D5" w14:textId="40DEB84B" w:rsidR="008D563A" w:rsidRPr="003665A3" w:rsidRDefault="006C7930" w:rsidP="008846B8">
            <w:pPr>
              <w:pStyle w:val="NormalWeb"/>
              <w:spacing w:afterLines="60" w:after="144" w:afterAutospacing="0"/>
              <w:contextualSpacing/>
              <w:rPr>
                <w:sz w:val="22"/>
                <w:szCs w:val="22"/>
              </w:rPr>
            </w:pPr>
            <w:r w:rsidRPr="003665A3">
              <w:rPr>
                <w:sz w:val="22"/>
                <w:szCs w:val="22"/>
              </w:rPr>
              <w:t xml:space="preserve">CCBY </w:t>
            </w:r>
          </w:p>
        </w:tc>
      </w:tr>
      <w:tr w:rsidR="008D563A" w:rsidRPr="003665A3" w14:paraId="3DE77290" w14:textId="77777777" w:rsidTr="00FC53DF">
        <w:tc>
          <w:tcPr>
            <w:tcW w:w="2988" w:type="dxa"/>
          </w:tcPr>
          <w:p w14:paraId="03296BCA" w14:textId="77777777" w:rsidR="008D563A" w:rsidRPr="003665A3" w:rsidRDefault="008D563A" w:rsidP="008846B8">
            <w:pPr>
              <w:pStyle w:val="NormalWeb"/>
              <w:spacing w:afterLines="60" w:after="144" w:afterAutospacing="0"/>
              <w:contextualSpacing/>
              <w:rPr>
                <w:b/>
                <w:sz w:val="22"/>
                <w:szCs w:val="22"/>
              </w:rPr>
            </w:pPr>
            <w:r w:rsidRPr="003665A3">
              <w:rPr>
                <w:b/>
                <w:sz w:val="22"/>
                <w:szCs w:val="22"/>
              </w:rPr>
              <w:t xml:space="preserve">Geographic </w:t>
            </w:r>
            <w:r w:rsidR="00FC53DF" w:rsidRPr="003665A3">
              <w:rPr>
                <w:b/>
                <w:sz w:val="22"/>
                <w:szCs w:val="22"/>
              </w:rPr>
              <w:t>location – verbal description</w:t>
            </w:r>
          </w:p>
        </w:tc>
        <w:tc>
          <w:tcPr>
            <w:tcW w:w="7020" w:type="dxa"/>
          </w:tcPr>
          <w:p w14:paraId="6718CFC4" w14:textId="2BE08CF0" w:rsidR="008D563A" w:rsidRPr="003665A3" w:rsidRDefault="006C7930" w:rsidP="008846B8">
            <w:pPr>
              <w:pStyle w:val="NormalWeb"/>
              <w:spacing w:afterLines="60" w:after="144" w:afterAutospacing="0"/>
              <w:contextualSpacing/>
              <w:rPr>
                <w:sz w:val="22"/>
                <w:szCs w:val="22"/>
              </w:rPr>
            </w:pPr>
            <w:r w:rsidRPr="003665A3">
              <w:rPr>
                <w:sz w:val="22"/>
                <w:szCs w:val="22"/>
              </w:rPr>
              <w:t>Reed College, Portland, Oregon, United States</w:t>
            </w:r>
          </w:p>
        </w:tc>
      </w:tr>
      <w:tr w:rsidR="008D563A" w:rsidRPr="003665A3" w14:paraId="468C2DF7" w14:textId="77777777" w:rsidTr="00FC53DF">
        <w:tc>
          <w:tcPr>
            <w:tcW w:w="2988" w:type="dxa"/>
          </w:tcPr>
          <w:p w14:paraId="7322DF6B" w14:textId="77777777" w:rsidR="008D563A" w:rsidRPr="003665A3" w:rsidRDefault="008D563A" w:rsidP="008846B8">
            <w:pPr>
              <w:pStyle w:val="NormalWeb"/>
              <w:spacing w:afterLines="60" w:after="144" w:afterAutospacing="0"/>
              <w:contextualSpacing/>
              <w:rPr>
                <w:b/>
                <w:sz w:val="22"/>
                <w:szCs w:val="22"/>
              </w:rPr>
            </w:pPr>
            <w:r w:rsidRPr="003665A3">
              <w:rPr>
                <w:b/>
                <w:sz w:val="22"/>
                <w:szCs w:val="22"/>
              </w:rPr>
              <w:t xml:space="preserve">Geographic coverage </w:t>
            </w:r>
            <w:r w:rsidR="00FC53DF" w:rsidRPr="003665A3">
              <w:rPr>
                <w:b/>
                <w:sz w:val="22"/>
                <w:szCs w:val="22"/>
              </w:rPr>
              <w:t>bounding coordinates</w:t>
            </w:r>
          </w:p>
        </w:tc>
        <w:tc>
          <w:tcPr>
            <w:tcW w:w="7020" w:type="dxa"/>
          </w:tcPr>
          <w:p w14:paraId="1BE1F54C" w14:textId="66EA4FB1" w:rsidR="008D563A" w:rsidRPr="003665A3" w:rsidRDefault="008C40C0" w:rsidP="008846B8">
            <w:pPr>
              <w:spacing w:afterLines="60" w:after="144"/>
              <w:rPr>
                <w:sz w:val="22"/>
                <w:szCs w:val="22"/>
              </w:rPr>
            </w:pPr>
            <w:r w:rsidRPr="003665A3">
              <w:rPr>
                <w:color w:val="222222"/>
                <w:sz w:val="22"/>
                <w:szCs w:val="22"/>
                <w:shd w:val="clear" w:color="auto" w:fill="FFFFFF"/>
              </w:rPr>
              <w:t>45.4811° N, 122.6308° W</w:t>
            </w:r>
          </w:p>
        </w:tc>
      </w:tr>
      <w:tr w:rsidR="008D563A" w:rsidRPr="003665A3" w14:paraId="4EE85F3D" w14:textId="77777777" w:rsidTr="00FC53DF">
        <w:tc>
          <w:tcPr>
            <w:tcW w:w="2988" w:type="dxa"/>
          </w:tcPr>
          <w:p w14:paraId="0ACC2FE8" w14:textId="77777777" w:rsidR="008D563A" w:rsidRPr="003665A3" w:rsidRDefault="00FC53DF" w:rsidP="008846B8">
            <w:pPr>
              <w:pStyle w:val="NormalWeb"/>
              <w:spacing w:afterLines="60" w:after="144" w:afterAutospacing="0"/>
              <w:contextualSpacing/>
              <w:rPr>
                <w:b/>
                <w:sz w:val="22"/>
                <w:szCs w:val="22"/>
              </w:rPr>
            </w:pPr>
            <w:r w:rsidRPr="003665A3">
              <w:rPr>
                <w:b/>
                <w:sz w:val="22"/>
                <w:szCs w:val="22"/>
              </w:rPr>
              <w:t>Time frame</w:t>
            </w:r>
            <w:r w:rsidR="008D563A" w:rsidRPr="003665A3">
              <w:rPr>
                <w:b/>
                <w:sz w:val="22"/>
                <w:szCs w:val="22"/>
              </w:rPr>
              <w:t xml:space="preserve"> - Begin date</w:t>
            </w:r>
          </w:p>
        </w:tc>
        <w:tc>
          <w:tcPr>
            <w:tcW w:w="7020" w:type="dxa"/>
          </w:tcPr>
          <w:p w14:paraId="56567C38" w14:textId="08DCDDD5" w:rsidR="008D563A" w:rsidRPr="003665A3" w:rsidRDefault="008C40C0" w:rsidP="008846B8">
            <w:pPr>
              <w:pStyle w:val="NormalWeb"/>
              <w:spacing w:afterLines="60" w:after="144" w:afterAutospacing="0"/>
              <w:contextualSpacing/>
              <w:rPr>
                <w:sz w:val="22"/>
                <w:szCs w:val="22"/>
              </w:rPr>
            </w:pPr>
            <w:r w:rsidRPr="003665A3">
              <w:rPr>
                <w:sz w:val="22"/>
                <w:szCs w:val="22"/>
              </w:rPr>
              <w:t>6/10/2019</w:t>
            </w:r>
          </w:p>
        </w:tc>
      </w:tr>
      <w:tr w:rsidR="008D563A" w:rsidRPr="003665A3" w14:paraId="522C6F7F" w14:textId="77777777" w:rsidTr="00FC53DF">
        <w:tc>
          <w:tcPr>
            <w:tcW w:w="2988" w:type="dxa"/>
          </w:tcPr>
          <w:p w14:paraId="439A7A68" w14:textId="77777777" w:rsidR="008D563A" w:rsidRPr="003665A3" w:rsidRDefault="00FC53DF" w:rsidP="008846B8">
            <w:pPr>
              <w:pStyle w:val="NormalWeb"/>
              <w:spacing w:afterLines="60" w:after="144" w:afterAutospacing="0"/>
              <w:contextualSpacing/>
              <w:rPr>
                <w:b/>
                <w:sz w:val="22"/>
                <w:szCs w:val="22"/>
              </w:rPr>
            </w:pPr>
            <w:r w:rsidRPr="003665A3">
              <w:rPr>
                <w:b/>
                <w:sz w:val="22"/>
                <w:szCs w:val="22"/>
              </w:rPr>
              <w:t>Time frame</w:t>
            </w:r>
            <w:r w:rsidR="008D563A" w:rsidRPr="003665A3">
              <w:rPr>
                <w:b/>
                <w:sz w:val="22"/>
                <w:szCs w:val="22"/>
              </w:rPr>
              <w:t xml:space="preserve"> - End date</w:t>
            </w:r>
          </w:p>
        </w:tc>
        <w:tc>
          <w:tcPr>
            <w:tcW w:w="7020" w:type="dxa"/>
          </w:tcPr>
          <w:p w14:paraId="1856BA0E" w14:textId="411B90B2" w:rsidR="008D563A" w:rsidRPr="003665A3" w:rsidRDefault="008C40C0" w:rsidP="008846B8">
            <w:pPr>
              <w:pStyle w:val="NormalWeb"/>
              <w:spacing w:afterLines="60" w:after="144" w:afterAutospacing="0"/>
              <w:contextualSpacing/>
              <w:rPr>
                <w:sz w:val="22"/>
                <w:szCs w:val="22"/>
              </w:rPr>
            </w:pPr>
            <w:r w:rsidRPr="003665A3">
              <w:rPr>
                <w:sz w:val="22"/>
                <w:szCs w:val="22"/>
              </w:rPr>
              <w:t>10/2/2019</w:t>
            </w:r>
          </w:p>
        </w:tc>
      </w:tr>
      <w:tr w:rsidR="008D563A" w:rsidRPr="003665A3" w14:paraId="34FA623D" w14:textId="77777777" w:rsidTr="00FC53DF">
        <w:tc>
          <w:tcPr>
            <w:tcW w:w="2988" w:type="dxa"/>
          </w:tcPr>
          <w:p w14:paraId="0DBE2EC3" w14:textId="77777777" w:rsidR="008D563A" w:rsidRPr="003665A3" w:rsidRDefault="008D563A" w:rsidP="008846B8">
            <w:pPr>
              <w:pStyle w:val="NormalWeb"/>
              <w:spacing w:afterLines="60" w:after="144" w:afterAutospacing="0"/>
              <w:contextualSpacing/>
              <w:rPr>
                <w:b/>
                <w:sz w:val="22"/>
                <w:szCs w:val="22"/>
              </w:rPr>
            </w:pPr>
            <w:r w:rsidRPr="003665A3">
              <w:rPr>
                <w:b/>
              </w:rPr>
              <w:t>General study design</w:t>
            </w:r>
          </w:p>
        </w:tc>
        <w:tc>
          <w:tcPr>
            <w:tcW w:w="7020" w:type="dxa"/>
          </w:tcPr>
          <w:p w14:paraId="3AF32C1C" w14:textId="26FC9DB6" w:rsidR="00CF5BD3" w:rsidRPr="003665A3" w:rsidRDefault="00CF5BD3" w:rsidP="008846B8">
            <w:pPr>
              <w:spacing w:afterLines="60" w:after="144"/>
              <w:rPr>
                <w:sz w:val="22"/>
                <w:szCs w:val="22"/>
                <w:u w:val="single"/>
              </w:rPr>
            </w:pPr>
            <w:r w:rsidRPr="003665A3">
              <w:rPr>
                <w:sz w:val="22"/>
                <w:szCs w:val="22"/>
                <w:u w:val="single"/>
              </w:rPr>
              <w:t>Generating Cyanobacteria Growth Dataset (“Cyano_growth_data</w:t>
            </w:r>
            <w:r w:rsidR="000A00D8" w:rsidRPr="003665A3">
              <w:rPr>
                <w:sz w:val="22"/>
                <w:szCs w:val="22"/>
                <w:u w:val="single"/>
              </w:rPr>
              <w:t>.csv</w:t>
            </w:r>
            <w:r w:rsidRPr="003665A3">
              <w:rPr>
                <w:sz w:val="22"/>
                <w:szCs w:val="22"/>
                <w:u w:val="single"/>
              </w:rPr>
              <w:t>”):</w:t>
            </w:r>
          </w:p>
          <w:p w14:paraId="4DCA30A4" w14:textId="6ED32958" w:rsidR="005221DD" w:rsidRPr="003665A3" w:rsidRDefault="007D6156" w:rsidP="008846B8">
            <w:pPr>
              <w:spacing w:afterLines="60" w:after="144"/>
              <w:rPr>
                <w:sz w:val="22"/>
                <w:szCs w:val="22"/>
              </w:rPr>
            </w:pPr>
            <w:r w:rsidRPr="003665A3">
              <w:rPr>
                <w:sz w:val="22"/>
                <w:szCs w:val="22"/>
              </w:rPr>
              <w:t xml:space="preserve">After exposing four cyanobacteria </w:t>
            </w:r>
            <w:r w:rsidR="0031329F" w:rsidRPr="003665A3">
              <w:rPr>
                <w:sz w:val="22"/>
                <w:szCs w:val="22"/>
              </w:rPr>
              <w:t>taxa</w:t>
            </w:r>
            <w:r w:rsidRPr="003665A3">
              <w:rPr>
                <w:sz w:val="22"/>
                <w:szCs w:val="22"/>
              </w:rPr>
              <w:t xml:space="preserve"> to three distinct thermal histories for two weeks, we measured population-level exponential growth rate (1/day) of all strains cultured </w:t>
            </w:r>
            <w:r w:rsidR="005221DD" w:rsidRPr="003665A3">
              <w:rPr>
                <w:sz w:val="22"/>
                <w:szCs w:val="22"/>
              </w:rPr>
              <w:t>across a thermal gradient</w:t>
            </w:r>
            <w:r w:rsidR="00A01B76" w:rsidRPr="003665A3">
              <w:rPr>
                <w:sz w:val="22"/>
                <w:szCs w:val="22"/>
              </w:rPr>
              <w:t xml:space="preserve"> (15.7°C, 18.5°C, 22.1°C, 25.4°C, 28.6°C, 32.0°C, 35.7°C, 39.1°C, 42.6°C)</w:t>
            </w:r>
            <w:r w:rsidR="005221DD" w:rsidRPr="003665A3">
              <w:rPr>
                <w:sz w:val="22"/>
                <w:szCs w:val="22"/>
              </w:rPr>
              <w:t xml:space="preserve"> </w:t>
            </w:r>
            <w:r w:rsidRPr="003665A3">
              <w:rPr>
                <w:sz w:val="22"/>
                <w:szCs w:val="22"/>
              </w:rPr>
              <w:t>for</w:t>
            </w:r>
            <w:r w:rsidR="005221DD" w:rsidRPr="003665A3">
              <w:rPr>
                <w:sz w:val="22"/>
                <w:szCs w:val="22"/>
              </w:rPr>
              <w:t xml:space="preserve"> 40 hours</w:t>
            </w:r>
            <w:r w:rsidR="00CF5BD3" w:rsidRPr="003665A3">
              <w:rPr>
                <w:sz w:val="22"/>
                <w:szCs w:val="22"/>
              </w:rPr>
              <w:t xml:space="preserve">. </w:t>
            </w:r>
            <w:r w:rsidRPr="003665A3">
              <w:rPr>
                <w:sz w:val="22"/>
                <w:szCs w:val="22"/>
              </w:rPr>
              <w:t>We</w:t>
            </w:r>
            <w:r w:rsidR="00C47FDF" w:rsidRPr="003665A3">
              <w:rPr>
                <w:sz w:val="22"/>
                <w:szCs w:val="22"/>
              </w:rPr>
              <w:t xml:space="preserve"> conducted this and subsequent experiments using nutrient replete (high N and P concentrations) and nutrient limited (low N and P concentrations) freshwater media.</w:t>
            </w:r>
          </w:p>
          <w:p w14:paraId="346D8535" w14:textId="5B266E49" w:rsidR="00CF5BD3" w:rsidRPr="003665A3" w:rsidRDefault="00CF5BD3" w:rsidP="008846B8">
            <w:pPr>
              <w:spacing w:afterLines="60" w:after="144"/>
              <w:rPr>
                <w:sz w:val="22"/>
                <w:szCs w:val="22"/>
              </w:rPr>
            </w:pPr>
            <w:r w:rsidRPr="003665A3">
              <w:rPr>
                <w:sz w:val="22"/>
                <w:szCs w:val="22"/>
                <w:u w:val="single"/>
              </w:rPr>
              <w:t>Generating Cyanotoxin Dataset (“Cyano_toxin_data</w:t>
            </w:r>
            <w:r w:rsidR="000A00D8" w:rsidRPr="003665A3">
              <w:rPr>
                <w:sz w:val="22"/>
                <w:szCs w:val="22"/>
                <w:u w:val="single"/>
              </w:rPr>
              <w:t>.csv</w:t>
            </w:r>
            <w:r w:rsidRPr="003665A3">
              <w:rPr>
                <w:sz w:val="22"/>
                <w:szCs w:val="22"/>
                <w:u w:val="single"/>
              </w:rPr>
              <w:t>”)</w:t>
            </w:r>
            <w:r w:rsidRPr="003665A3">
              <w:rPr>
                <w:sz w:val="22"/>
                <w:szCs w:val="22"/>
              </w:rPr>
              <w:t>:</w:t>
            </w:r>
          </w:p>
          <w:p w14:paraId="5414973A" w14:textId="78FCC218" w:rsidR="008D563A" w:rsidRPr="003665A3" w:rsidRDefault="007D6156" w:rsidP="008846B8">
            <w:pPr>
              <w:spacing w:afterLines="60" w:after="144"/>
              <w:rPr>
                <w:sz w:val="22"/>
                <w:szCs w:val="22"/>
              </w:rPr>
            </w:pPr>
            <w:r w:rsidRPr="003665A3">
              <w:rPr>
                <w:sz w:val="22"/>
                <w:szCs w:val="22"/>
              </w:rPr>
              <w:t xml:space="preserve">After exposing the toxic strain of Microcystis aeruginosa to three distinct thermal histories </w:t>
            </w:r>
            <w:r w:rsidR="004023F3" w:rsidRPr="003665A3">
              <w:rPr>
                <w:sz w:val="22"/>
                <w:szCs w:val="22"/>
              </w:rPr>
              <w:t xml:space="preserve">(15.7°C, 28.6°C, or 39.1°C) </w:t>
            </w:r>
            <w:r w:rsidRPr="003665A3">
              <w:rPr>
                <w:sz w:val="22"/>
                <w:szCs w:val="22"/>
              </w:rPr>
              <w:t xml:space="preserve">for two weeks, </w:t>
            </w:r>
            <w:r w:rsidR="004023F3" w:rsidRPr="003665A3">
              <w:rPr>
                <w:sz w:val="22"/>
                <w:szCs w:val="22"/>
              </w:rPr>
              <w:t>w</w:t>
            </w:r>
            <w:r w:rsidR="001771E8" w:rsidRPr="003665A3">
              <w:rPr>
                <w:sz w:val="22"/>
                <w:szCs w:val="22"/>
              </w:rPr>
              <w:t xml:space="preserve">e </w:t>
            </w:r>
            <w:r w:rsidRPr="003665A3">
              <w:rPr>
                <w:sz w:val="22"/>
                <w:szCs w:val="22"/>
              </w:rPr>
              <w:t>measured</w:t>
            </w:r>
            <w:r w:rsidR="001771E8" w:rsidRPr="003665A3">
              <w:rPr>
                <w:sz w:val="22"/>
                <w:szCs w:val="22"/>
              </w:rPr>
              <w:t xml:space="preserve"> initial and final fluorescence and microcystin concentration </w:t>
            </w:r>
            <w:r w:rsidR="004023F3" w:rsidRPr="003665A3">
              <w:rPr>
                <w:sz w:val="22"/>
                <w:szCs w:val="22"/>
              </w:rPr>
              <w:t>following a</w:t>
            </w:r>
            <w:r w:rsidRPr="003665A3">
              <w:rPr>
                <w:sz w:val="22"/>
                <w:szCs w:val="22"/>
              </w:rPr>
              <w:t xml:space="preserve"> </w:t>
            </w:r>
            <w:r w:rsidR="001771E8" w:rsidRPr="003665A3">
              <w:rPr>
                <w:sz w:val="22"/>
                <w:szCs w:val="22"/>
              </w:rPr>
              <w:t>5</w:t>
            </w:r>
            <w:r w:rsidRPr="003665A3">
              <w:rPr>
                <w:sz w:val="22"/>
                <w:szCs w:val="22"/>
              </w:rPr>
              <w:t>-</w:t>
            </w:r>
            <w:r w:rsidR="001771E8" w:rsidRPr="003665A3">
              <w:rPr>
                <w:sz w:val="22"/>
                <w:szCs w:val="22"/>
              </w:rPr>
              <w:t xml:space="preserve">day temperature perturbation </w:t>
            </w:r>
            <w:r w:rsidR="004023F3" w:rsidRPr="003665A3">
              <w:rPr>
                <w:sz w:val="22"/>
                <w:szCs w:val="22"/>
              </w:rPr>
              <w:t xml:space="preserve">of </w:t>
            </w:r>
            <w:r w:rsidR="001771E8" w:rsidRPr="003665A3">
              <w:rPr>
                <w:sz w:val="22"/>
                <w:szCs w:val="22"/>
              </w:rPr>
              <w:t xml:space="preserve">28.6°C. </w:t>
            </w:r>
          </w:p>
        </w:tc>
      </w:tr>
      <w:tr w:rsidR="008D563A" w:rsidRPr="003665A3" w14:paraId="481EE737" w14:textId="77777777" w:rsidTr="00FC53DF">
        <w:tc>
          <w:tcPr>
            <w:tcW w:w="2988" w:type="dxa"/>
          </w:tcPr>
          <w:p w14:paraId="049793A8" w14:textId="77777777" w:rsidR="008D563A" w:rsidRPr="003665A3" w:rsidRDefault="008D563A" w:rsidP="008846B8">
            <w:pPr>
              <w:pStyle w:val="NormalWeb"/>
              <w:spacing w:afterLines="60" w:after="144" w:afterAutospacing="0"/>
              <w:contextualSpacing/>
              <w:rPr>
                <w:b/>
                <w:sz w:val="22"/>
                <w:szCs w:val="22"/>
              </w:rPr>
            </w:pPr>
            <w:r w:rsidRPr="003665A3">
              <w:rPr>
                <w:b/>
              </w:rPr>
              <w:t>Methods description</w:t>
            </w:r>
          </w:p>
        </w:tc>
        <w:tc>
          <w:tcPr>
            <w:tcW w:w="7020" w:type="dxa"/>
          </w:tcPr>
          <w:p w14:paraId="110290FC" w14:textId="26BFB355" w:rsidR="00CF5BD3" w:rsidRPr="003665A3" w:rsidRDefault="00CF5BD3" w:rsidP="008846B8">
            <w:pPr>
              <w:spacing w:afterLines="60" w:after="144"/>
              <w:rPr>
                <w:sz w:val="22"/>
                <w:szCs w:val="22"/>
                <w:u w:val="single"/>
              </w:rPr>
            </w:pPr>
            <w:r w:rsidRPr="003665A3">
              <w:rPr>
                <w:sz w:val="22"/>
                <w:szCs w:val="22"/>
                <w:u w:val="single"/>
              </w:rPr>
              <w:t>Generating Cyanobacteria Growth Dataset:</w:t>
            </w:r>
          </w:p>
          <w:p w14:paraId="7539A651" w14:textId="2FA967DF" w:rsidR="00173C92" w:rsidRPr="003665A3" w:rsidRDefault="00173C92" w:rsidP="008846B8">
            <w:pPr>
              <w:spacing w:afterLines="60" w:after="144"/>
              <w:rPr>
                <w:sz w:val="22"/>
                <w:szCs w:val="22"/>
              </w:rPr>
            </w:pPr>
            <w:r w:rsidRPr="003665A3">
              <w:rPr>
                <w:sz w:val="22"/>
                <w:szCs w:val="22"/>
              </w:rPr>
              <w:t xml:space="preserve">We experimentally measured the population-level responses (i.e. exponential growth rate) of cyanobacteria to temperature variation in nutrient-replete and nutrient-limiting environments. We studied </w:t>
            </w:r>
            <w:r w:rsidRPr="003665A3">
              <w:rPr>
                <w:i/>
                <w:sz w:val="22"/>
                <w:szCs w:val="22"/>
              </w:rPr>
              <w:t>A. flos-aquae</w:t>
            </w:r>
            <w:r w:rsidRPr="003665A3">
              <w:rPr>
                <w:sz w:val="22"/>
                <w:szCs w:val="22"/>
              </w:rPr>
              <w:t xml:space="preserve">, </w:t>
            </w:r>
            <w:r w:rsidRPr="003665A3">
              <w:rPr>
                <w:i/>
                <w:sz w:val="22"/>
                <w:szCs w:val="22"/>
              </w:rPr>
              <w:t>P. foveolarum</w:t>
            </w:r>
            <w:r w:rsidRPr="003665A3">
              <w:rPr>
                <w:sz w:val="22"/>
                <w:szCs w:val="22"/>
              </w:rPr>
              <w:t xml:space="preserve">, and a toxic and non-toxic strain of </w:t>
            </w:r>
            <w:r w:rsidRPr="003665A3">
              <w:rPr>
                <w:i/>
                <w:sz w:val="22"/>
                <w:szCs w:val="22"/>
              </w:rPr>
              <w:t>M. aeruginosa</w:t>
            </w:r>
            <w:r w:rsidRPr="003665A3">
              <w:rPr>
                <w:sz w:val="22"/>
                <w:szCs w:val="22"/>
              </w:rPr>
              <w:t xml:space="preserve"> (from University of Texas, UTEX, Culture Collection of Algae, Austin, TX, USA; UTEX Number 2558, 427, 2385, and 2386, respectively). We selected these taxa because they are nationally common (based on the most recent (2012) US EPA’s National Aquatic Resource Surveys data, retrieved Dec 12, 2019, from: </w:t>
            </w:r>
            <w:r w:rsidRPr="003665A3">
              <w:rPr>
                <w:color w:val="000000" w:themeColor="text1"/>
                <w:sz w:val="22"/>
                <w:szCs w:val="22"/>
              </w:rPr>
              <w:t>https://www.epa.gov/national-aquatic-resource-surveys/data-national-aquatic-resource-surveys</w:t>
            </w:r>
            <w:r w:rsidRPr="003665A3">
              <w:rPr>
                <w:sz w:val="22"/>
                <w:szCs w:val="22"/>
              </w:rPr>
              <w:t>), commercially available, and tolerant of laboratory conditions.</w:t>
            </w:r>
          </w:p>
          <w:p w14:paraId="6050518A" w14:textId="77777777" w:rsidR="008846B8" w:rsidRPr="003665A3" w:rsidRDefault="00173C92" w:rsidP="008846B8">
            <w:pPr>
              <w:spacing w:afterLines="60" w:after="144"/>
              <w:rPr>
                <w:sz w:val="22"/>
                <w:szCs w:val="22"/>
              </w:rPr>
            </w:pPr>
            <w:r w:rsidRPr="003665A3">
              <w:rPr>
                <w:sz w:val="22"/>
                <w:szCs w:val="22"/>
              </w:rPr>
              <w:t>To control growth temperatures, we used a thermal gradient block (TGB)</w:t>
            </w:r>
            <w:r w:rsidR="008846B8" w:rsidRPr="003665A3">
              <w:rPr>
                <w:sz w:val="22"/>
                <w:szCs w:val="22"/>
              </w:rPr>
              <w:t>. The TGB is comprised of a 0.88 m x 0.29 m aluminum block with channels on either end through which hot (left, red) and cold (right, blue) water are pumped, developing a stable, gradual gradient of hot to cold temperatures. 8 temperature sensors equally distributed along the TGB provide real-time temperature monitoring. Each block contains a total of 27 equally spaced wells: 9 across the length of the temperature gradient by 3 along the width. Each well holds up to 6 replicate 12x75mm test tubes (pictured with white opaque caps) suspended in deionized water that acts as a heat conductive medium between the blocks and the samples. Wells are covered at the bottom with clear Plexiglass and are lit from below by full spectrum, 5w LEDs (</w:t>
            </w:r>
            <w:r w:rsidR="008846B8" w:rsidRPr="003665A3">
              <w:rPr>
                <w:color w:val="000000"/>
                <w:sz w:val="22"/>
                <w:szCs w:val="22"/>
              </w:rPr>
              <w:t>380-850nm, Shenzhen Chanzon Technology Co., China</w:t>
            </w:r>
            <w:r w:rsidR="008846B8" w:rsidRPr="003665A3">
              <w:rPr>
                <w:sz w:val="22"/>
                <w:szCs w:val="22"/>
              </w:rPr>
              <w:t xml:space="preserve">). The horizontal temperature gradient remained stable throughout the experiment </w:t>
            </w:r>
            <w:r w:rsidR="008846B8" w:rsidRPr="003665A3">
              <w:rPr>
                <w:sz w:val="22"/>
                <w:szCs w:val="22"/>
              </w:rPr>
              <w:lastRenderedPageBreak/>
              <w:t>(</w:t>
            </w:r>
            <w:r w:rsidR="008846B8" w:rsidRPr="003665A3">
              <w:rPr>
                <w:color w:val="000000"/>
                <w:sz w:val="22"/>
                <w:szCs w:val="22"/>
              </w:rPr>
              <w:sym w:font="Symbol" w:char="F0B1"/>
            </w:r>
            <w:r w:rsidR="008846B8" w:rsidRPr="003665A3">
              <w:rPr>
                <w:color w:val="000000"/>
                <w:sz w:val="22"/>
                <w:szCs w:val="22"/>
              </w:rPr>
              <w:t xml:space="preserve"> 0.5</w:t>
            </w:r>
            <w:r w:rsidR="008846B8" w:rsidRPr="003665A3">
              <w:rPr>
                <w:color w:val="000000"/>
                <w:sz w:val="22"/>
                <w:szCs w:val="22"/>
              </w:rPr>
              <w:sym w:font="Symbol" w:char="F0B0"/>
            </w:r>
            <w:r w:rsidR="008846B8" w:rsidRPr="003665A3">
              <w:rPr>
                <w:color w:val="000000"/>
                <w:sz w:val="22"/>
                <w:szCs w:val="22"/>
              </w:rPr>
              <w:t xml:space="preserve">C; </w:t>
            </w:r>
            <w:r w:rsidR="008846B8" w:rsidRPr="003665A3">
              <w:rPr>
                <w:sz w:val="22"/>
                <w:szCs w:val="22"/>
              </w:rPr>
              <w:t xml:space="preserve">monitored using temperature sensors and manual probe readings) and light intensities fell within the range of </w:t>
            </w:r>
            <w:r w:rsidR="008846B8" w:rsidRPr="003665A3">
              <w:rPr>
                <w:color w:val="000000"/>
                <w:sz w:val="22"/>
                <w:szCs w:val="22"/>
              </w:rPr>
              <w:t xml:space="preserve">66.52 (mean </w:t>
            </w:r>
            <w:r w:rsidR="008846B8" w:rsidRPr="003665A3">
              <w:rPr>
                <w:color w:val="000000"/>
                <w:sz w:val="22"/>
                <w:szCs w:val="22"/>
              </w:rPr>
              <w:sym w:font="Symbol" w:char="F0B1"/>
            </w:r>
            <w:r w:rsidR="008846B8" w:rsidRPr="003665A3">
              <w:rPr>
                <w:color w:val="000000"/>
                <w:sz w:val="22"/>
                <w:szCs w:val="22"/>
              </w:rPr>
              <w:t xml:space="preserve"> 4.32 SE) μmol m</w:t>
            </w:r>
            <w:r w:rsidR="008846B8" w:rsidRPr="003665A3">
              <w:rPr>
                <w:color w:val="000000"/>
                <w:sz w:val="22"/>
                <w:szCs w:val="22"/>
                <w:vertAlign w:val="superscript"/>
              </w:rPr>
              <w:t>-2</w:t>
            </w:r>
            <w:r w:rsidR="008846B8" w:rsidRPr="003665A3">
              <w:rPr>
                <w:color w:val="000000"/>
                <w:sz w:val="22"/>
                <w:szCs w:val="22"/>
              </w:rPr>
              <w:t xml:space="preserve"> s</w:t>
            </w:r>
            <w:r w:rsidR="008846B8" w:rsidRPr="003665A3">
              <w:rPr>
                <w:color w:val="000000"/>
                <w:sz w:val="22"/>
                <w:szCs w:val="22"/>
                <w:vertAlign w:val="superscript"/>
              </w:rPr>
              <w:t>-1</w:t>
            </w:r>
            <w:r w:rsidR="008846B8" w:rsidRPr="003665A3">
              <w:rPr>
                <w:sz w:val="22"/>
                <w:szCs w:val="22"/>
              </w:rPr>
              <w:t xml:space="preserve"> with no significant difference across the TGB (</w:t>
            </w:r>
            <w:r w:rsidR="008846B8" w:rsidRPr="003665A3">
              <w:rPr>
                <w:color w:val="000000"/>
                <w:sz w:val="22"/>
                <w:szCs w:val="22"/>
              </w:rPr>
              <w:t>F</w:t>
            </w:r>
            <w:r w:rsidR="008846B8" w:rsidRPr="003665A3">
              <w:rPr>
                <w:color w:val="000000"/>
                <w:sz w:val="22"/>
                <w:szCs w:val="22"/>
                <w:vertAlign w:val="subscript"/>
              </w:rPr>
              <w:t>1,25</w:t>
            </w:r>
            <w:r w:rsidR="008846B8" w:rsidRPr="003665A3">
              <w:rPr>
                <w:color w:val="000000"/>
                <w:sz w:val="22"/>
                <w:szCs w:val="22"/>
              </w:rPr>
              <w:t xml:space="preserve"> = 1.505, p = 0.23; measured spectrophotometerly</w:t>
            </w:r>
            <w:r w:rsidR="008846B8" w:rsidRPr="003665A3">
              <w:rPr>
                <w:sz w:val="22"/>
                <w:szCs w:val="22"/>
              </w:rPr>
              <w:t xml:space="preserve">). </w:t>
            </w:r>
          </w:p>
          <w:p w14:paraId="1CCE9EB0" w14:textId="6DBB1075" w:rsidR="00681F44" w:rsidRPr="003665A3" w:rsidRDefault="008846B8" w:rsidP="00681F44">
            <w:pPr>
              <w:rPr>
                <w:sz w:val="22"/>
                <w:szCs w:val="22"/>
              </w:rPr>
            </w:pPr>
            <w:r w:rsidRPr="003665A3">
              <w:rPr>
                <w:sz w:val="22"/>
                <w:szCs w:val="22"/>
              </w:rPr>
              <w:t xml:space="preserve">Wells set into the block at nine different positions allowed us to grow cultures at distinct temperatures (15.7°C, 18.5°C, 22.1°C, 25.4°C, 28.6°C, 32.0°C, 35.7°C, 39.1°C, 42.6°C). </w:t>
            </w:r>
            <w:r w:rsidR="00173C92" w:rsidRPr="003665A3">
              <w:rPr>
                <w:sz w:val="22"/>
                <w:szCs w:val="22"/>
              </w:rPr>
              <w:t>Prior to our experiments, we acclimated all species to the nine temperatures across the TGB for a period of two weeks in both nutrient-replete (COMBO medium, most representative of a hypereutrophic system</w:t>
            </w:r>
            <w:r w:rsidR="00CF5BD3" w:rsidRPr="003665A3">
              <w:rPr>
                <w:sz w:val="22"/>
                <w:szCs w:val="22"/>
              </w:rPr>
              <w:t>)</w:t>
            </w:r>
            <w:r w:rsidR="00173C92" w:rsidRPr="003665A3">
              <w:rPr>
                <w:sz w:val="22"/>
                <w:szCs w:val="22"/>
              </w:rPr>
              <w:t xml:space="preserve"> and nutrient-limited conditions (1% N and P relative to COMBO, analogous to an oligotrophic system</w:t>
            </w:r>
            <w:r w:rsidR="00CF5BD3" w:rsidRPr="003665A3">
              <w:rPr>
                <w:sz w:val="22"/>
                <w:szCs w:val="22"/>
              </w:rPr>
              <w:t>)</w:t>
            </w:r>
            <w:r w:rsidR="00173C92" w:rsidRPr="003665A3">
              <w:rPr>
                <w:sz w:val="22"/>
                <w:szCs w:val="22"/>
              </w:rPr>
              <w:t xml:space="preserve">. </w:t>
            </w:r>
            <w:r w:rsidR="00681F44" w:rsidRPr="003665A3">
              <w:rPr>
                <w:sz w:val="22"/>
                <w:szCs w:val="22"/>
              </w:rPr>
              <w:t xml:space="preserve">To create and modify media, we used Kilham et al. 1998 COMBO protocol </w:t>
            </w:r>
            <w:r w:rsidR="00681F44" w:rsidRPr="003665A3">
              <w:rPr>
                <w:color w:val="000000" w:themeColor="text1"/>
                <w:sz w:val="22"/>
                <w:szCs w:val="22"/>
              </w:rPr>
              <w:t>(</w:t>
            </w:r>
            <w:r w:rsidR="0031329F" w:rsidRPr="003665A3">
              <w:rPr>
                <w:color w:val="000000" w:themeColor="text1"/>
                <w:sz w:val="22"/>
                <w:szCs w:val="22"/>
              </w:rPr>
              <w:t>DOI:</w:t>
            </w:r>
            <w:r w:rsidR="00681F44" w:rsidRPr="003665A3">
              <w:rPr>
                <w:color w:val="000000" w:themeColor="text1"/>
                <w:sz w:val="22"/>
                <w:szCs w:val="22"/>
                <w:shd w:val="clear" w:color="auto" w:fill="FFFFFF"/>
              </w:rPr>
              <w:t xml:space="preserve">10.1023/A:1003231628456). </w:t>
            </w:r>
            <w:r w:rsidR="00173C92" w:rsidRPr="003665A3">
              <w:rPr>
                <w:sz w:val="22"/>
                <w:szCs w:val="22"/>
              </w:rPr>
              <w:t xml:space="preserve">We diluted all populations periodically during the acclimation phase to promote exponential growth. </w:t>
            </w:r>
          </w:p>
          <w:p w14:paraId="1AC2D644" w14:textId="77777777" w:rsidR="00681F44" w:rsidRPr="003665A3" w:rsidRDefault="00681F44" w:rsidP="00681F44">
            <w:pPr>
              <w:rPr>
                <w:sz w:val="22"/>
                <w:szCs w:val="22"/>
              </w:rPr>
            </w:pPr>
          </w:p>
          <w:p w14:paraId="01E4A0DB" w14:textId="5C398643" w:rsidR="00173C92" w:rsidRPr="003665A3" w:rsidRDefault="00173C92" w:rsidP="008846B8">
            <w:pPr>
              <w:spacing w:afterLines="60" w:after="144"/>
              <w:rPr>
                <w:color w:val="000000"/>
                <w:sz w:val="22"/>
                <w:szCs w:val="22"/>
              </w:rPr>
            </w:pPr>
            <w:r w:rsidRPr="003665A3">
              <w:rPr>
                <w:sz w:val="22"/>
                <w:szCs w:val="22"/>
              </w:rPr>
              <w:t xml:space="preserve">We next measured the acute and acclimated thermal performance curves (TPCs) of all species and strains under both nutrient conditions (following Kremer et al. 2018) to obtain “cold”, “hot”, and “fully-acclimated” curves. Cold TPCs consist of the short-term (or acute) growth rates of populations acclimated to 15.7°C and grown at all nine experimental temperatures. We obtained hot TPCs similarly, although the acclimation temperature varied by species to reflect the warmest temperature permitting positive growth (35.7°C, non-toxic </w:t>
            </w:r>
            <w:r w:rsidRPr="003665A3">
              <w:rPr>
                <w:i/>
                <w:sz w:val="22"/>
                <w:szCs w:val="22"/>
              </w:rPr>
              <w:t>M. aeruginosa</w:t>
            </w:r>
            <w:r w:rsidRPr="003665A3">
              <w:rPr>
                <w:sz w:val="22"/>
                <w:szCs w:val="22"/>
              </w:rPr>
              <w:t xml:space="preserve">; 39.1°C, toxic </w:t>
            </w:r>
            <w:r w:rsidRPr="003665A3">
              <w:rPr>
                <w:i/>
                <w:sz w:val="22"/>
                <w:szCs w:val="22"/>
              </w:rPr>
              <w:t>M. aeruginosa</w:t>
            </w:r>
            <w:r w:rsidRPr="003665A3">
              <w:rPr>
                <w:sz w:val="22"/>
                <w:szCs w:val="22"/>
              </w:rPr>
              <w:t xml:space="preserve"> and </w:t>
            </w:r>
            <w:r w:rsidRPr="003665A3">
              <w:rPr>
                <w:i/>
                <w:sz w:val="22"/>
                <w:szCs w:val="22"/>
              </w:rPr>
              <w:t>A. flos-aquae</w:t>
            </w:r>
            <w:r w:rsidRPr="003665A3">
              <w:rPr>
                <w:sz w:val="22"/>
                <w:szCs w:val="22"/>
              </w:rPr>
              <w:t xml:space="preserve">; 42.6°C, </w:t>
            </w:r>
            <w:r w:rsidRPr="003665A3">
              <w:rPr>
                <w:i/>
                <w:sz w:val="22"/>
                <w:szCs w:val="22"/>
              </w:rPr>
              <w:t>P. foveolarum</w:t>
            </w:r>
            <w:r w:rsidRPr="003665A3">
              <w:rPr>
                <w:sz w:val="22"/>
                <w:szCs w:val="22"/>
              </w:rPr>
              <w:t xml:space="preserve">). Fully-acclimated TPCs reflect the growth rates of populations acclimated to and maintained at each temperature. This design allows us to test how both subtle and high magnitude thermal perturbations from hot and cold initial conditions compare to fully-acclimated populations in a given acute environment. We established three replicate populations (N=3) per treatment by inoculating in 3 mL sterile growth media in test tubes with a starting density of ~50,000 cells/mL (for </w:t>
            </w:r>
            <w:r w:rsidRPr="003665A3">
              <w:rPr>
                <w:i/>
                <w:sz w:val="22"/>
                <w:szCs w:val="22"/>
              </w:rPr>
              <w:t>P. foveolarum</w:t>
            </w:r>
            <w:r w:rsidRPr="003665A3">
              <w:rPr>
                <w:sz w:val="22"/>
                <w:szCs w:val="22"/>
              </w:rPr>
              <w:t xml:space="preserve"> and </w:t>
            </w:r>
            <w:r w:rsidRPr="003665A3">
              <w:rPr>
                <w:i/>
                <w:sz w:val="22"/>
                <w:szCs w:val="22"/>
              </w:rPr>
              <w:t>A. flos-aquae</w:t>
            </w:r>
            <w:r w:rsidRPr="003665A3">
              <w:rPr>
                <w:sz w:val="22"/>
                <w:szCs w:val="22"/>
              </w:rPr>
              <w:t xml:space="preserve">) or ~100,000 cells/mL (for both strains of </w:t>
            </w:r>
            <w:r w:rsidRPr="003665A3">
              <w:rPr>
                <w:i/>
                <w:sz w:val="22"/>
                <w:szCs w:val="22"/>
              </w:rPr>
              <w:t>M. aeruginosa</w:t>
            </w:r>
            <w:r w:rsidRPr="003665A3">
              <w:rPr>
                <w:sz w:val="22"/>
                <w:szCs w:val="22"/>
              </w:rPr>
              <w:t>) to keep populations in exponential phase. We measured the fluorescence (proxy for cell density) of each culture four times over 40 hours using a Trilogy Laboratory Fluorometer (</w:t>
            </w:r>
            <w:r w:rsidRPr="003665A3">
              <w:rPr>
                <w:color w:val="000000"/>
                <w:sz w:val="22"/>
                <w:szCs w:val="22"/>
              </w:rPr>
              <w:t xml:space="preserve">Turner Designs, Inc, San Jose, CA, USA) with a chlorophyll-a non-acidification module. </w:t>
            </w:r>
          </w:p>
          <w:p w14:paraId="7639C809" w14:textId="37A05A2E" w:rsidR="004D4056" w:rsidRPr="003665A3" w:rsidRDefault="004D4056" w:rsidP="008846B8">
            <w:pPr>
              <w:spacing w:afterLines="60" w:after="144"/>
              <w:rPr>
                <w:sz w:val="22"/>
                <w:szCs w:val="22"/>
              </w:rPr>
            </w:pPr>
            <w:r w:rsidRPr="003665A3">
              <w:rPr>
                <w:sz w:val="22"/>
                <w:szCs w:val="22"/>
                <w:u w:val="single"/>
              </w:rPr>
              <w:t>Generating Cyanotoxin Dataset</w:t>
            </w:r>
            <w:r w:rsidRPr="003665A3">
              <w:rPr>
                <w:sz w:val="22"/>
                <w:szCs w:val="22"/>
              </w:rPr>
              <w:t>:</w:t>
            </w:r>
          </w:p>
          <w:p w14:paraId="2B5EB2C9" w14:textId="7C1D4D4A" w:rsidR="004D4056" w:rsidRPr="003665A3" w:rsidRDefault="00173C92" w:rsidP="008846B8">
            <w:pPr>
              <w:spacing w:afterLines="60" w:after="144"/>
              <w:rPr>
                <w:sz w:val="22"/>
                <w:szCs w:val="22"/>
              </w:rPr>
            </w:pPr>
            <w:r w:rsidRPr="003665A3">
              <w:rPr>
                <w:sz w:val="22"/>
                <w:szCs w:val="22"/>
              </w:rPr>
              <w:t xml:space="preserve">We measured microcystin (MC) production </w:t>
            </w:r>
            <w:r w:rsidR="00372A4E" w:rsidRPr="003665A3">
              <w:rPr>
                <w:sz w:val="22"/>
                <w:szCs w:val="22"/>
              </w:rPr>
              <w:t>in</w:t>
            </w:r>
            <w:r w:rsidRPr="003665A3">
              <w:rPr>
                <w:sz w:val="22"/>
                <w:szCs w:val="22"/>
              </w:rPr>
              <w:t xml:space="preserve"> the toxic strain of </w:t>
            </w:r>
            <w:r w:rsidRPr="003665A3">
              <w:rPr>
                <w:i/>
                <w:sz w:val="22"/>
                <w:szCs w:val="22"/>
              </w:rPr>
              <w:t xml:space="preserve">M. aeruginosa </w:t>
            </w:r>
            <w:r w:rsidRPr="003665A3">
              <w:rPr>
                <w:sz w:val="22"/>
                <w:szCs w:val="22"/>
              </w:rPr>
              <w:t xml:space="preserve">following a temperature perturbation. Using both nutrient-limited and replete conditions, we first acclimated populations to one of three temperature conditions: 15.7°C, 28.6°C, or 39.1°C, for a period of two weeks. Subsequently, we inoculated replicate populations (N = 6) at ~100,000 cell/mL in 12x75mm test tubes in a 28.6°C Percival Incubator (Percival Scientific, Inc., Perry, IA, USA). This temperature (28.6°C) maximized growth in toxic </w:t>
            </w:r>
            <w:r w:rsidRPr="003665A3">
              <w:rPr>
                <w:i/>
                <w:sz w:val="22"/>
                <w:szCs w:val="22"/>
              </w:rPr>
              <w:t>M. aeruginosa</w:t>
            </w:r>
            <w:r w:rsidRPr="003665A3">
              <w:rPr>
                <w:sz w:val="22"/>
                <w:szCs w:val="22"/>
              </w:rPr>
              <w:t>. We measured the initial and final fluorescence of populations after five days, at which point we also measured MC concentrations of sample replicates (using ELISA EP-022, QuantiPlate</w:t>
            </w:r>
            <w:r w:rsidRPr="003665A3">
              <w:rPr>
                <w:sz w:val="22"/>
                <w:szCs w:val="22"/>
                <w:vertAlign w:val="superscript"/>
              </w:rPr>
              <w:t>TM</w:t>
            </w:r>
            <w:r w:rsidRPr="003665A3">
              <w:rPr>
                <w:sz w:val="22"/>
                <w:szCs w:val="22"/>
              </w:rPr>
              <w:t xml:space="preserve"> Kit, Envirologix, Inc.,</w:t>
            </w:r>
            <w:r w:rsidR="00BB01C0" w:rsidRPr="003665A3">
              <w:rPr>
                <w:sz w:val="22"/>
                <w:szCs w:val="22"/>
              </w:rPr>
              <w:t xml:space="preserve"> </w:t>
            </w:r>
            <w:r w:rsidRPr="003665A3">
              <w:rPr>
                <w:sz w:val="22"/>
                <w:szCs w:val="22"/>
              </w:rPr>
              <w:t xml:space="preserve">Portland, ME, USA). </w:t>
            </w:r>
          </w:p>
          <w:p w14:paraId="4608512C" w14:textId="0ACAAC84" w:rsidR="008D563A" w:rsidRPr="003665A3" w:rsidRDefault="003556D1" w:rsidP="00F544A9">
            <w:pPr>
              <w:spacing w:after="120"/>
              <w:rPr>
                <w:sz w:val="22"/>
                <w:szCs w:val="22"/>
              </w:rPr>
            </w:pPr>
            <w:r w:rsidRPr="003665A3">
              <w:rPr>
                <w:sz w:val="22"/>
                <w:szCs w:val="22"/>
              </w:rPr>
              <w:t>To obtain MC concentration values</w:t>
            </w:r>
            <w:r w:rsidR="00173C92" w:rsidRPr="003665A3">
              <w:rPr>
                <w:sz w:val="22"/>
                <w:szCs w:val="22"/>
              </w:rPr>
              <w:t xml:space="preserve">, </w:t>
            </w:r>
            <w:r w:rsidR="00F462E5" w:rsidRPr="003665A3">
              <w:rPr>
                <w:sz w:val="22"/>
                <w:szCs w:val="22"/>
              </w:rPr>
              <w:t xml:space="preserve">we first diluted samples grown in the nutrient-replete media by a factor of 10-15 and samples grown in the nutrient-limited media by a factor of 4. We then </w:t>
            </w:r>
            <w:r w:rsidR="00173C92" w:rsidRPr="003665A3">
              <w:rPr>
                <w:sz w:val="22"/>
                <w:szCs w:val="22"/>
              </w:rPr>
              <w:t xml:space="preserve">prepared duplicates of each sample for toxin analysis by splitting all replicates within each treatment in </w:t>
            </w:r>
            <w:r w:rsidR="00173C92" w:rsidRPr="003665A3">
              <w:rPr>
                <w:sz w:val="22"/>
                <w:szCs w:val="22"/>
              </w:rPr>
              <w:lastRenderedPageBreak/>
              <w:t>half (1.5 ml of cells suspended in respective liquid media) and adding them to 2 ml centrifuge tubes. To release MC content from the cells, we completed three cycles of freezing (-80°C), thawing, sonicating (1 minute in sonicating water bath), and vortexing (5 seconds), following protocols developed by Banack et al.</w:t>
            </w:r>
            <w:r w:rsidRPr="003665A3">
              <w:rPr>
                <w:sz w:val="22"/>
                <w:szCs w:val="22"/>
              </w:rPr>
              <w:t xml:space="preserve"> 2015 (</w:t>
            </w:r>
            <w:r w:rsidR="0031329F" w:rsidRPr="003665A3">
              <w:rPr>
                <w:sz w:val="22"/>
                <w:szCs w:val="22"/>
              </w:rPr>
              <w:t>DOI</w:t>
            </w:r>
            <w:r w:rsidRPr="003665A3">
              <w:rPr>
                <w:color w:val="000000" w:themeColor="text1"/>
                <w:sz w:val="22"/>
                <w:szCs w:val="22"/>
                <w:shd w:val="clear" w:color="auto" w:fill="FFFFFF"/>
              </w:rPr>
              <w:t>: 10.3390/toxins7020322)</w:t>
            </w:r>
            <w:r w:rsidR="00173C92" w:rsidRPr="003665A3">
              <w:rPr>
                <w:color w:val="000000" w:themeColor="text1"/>
                <w:sz w:val="22"/>
                <w:szCs w:val="22"/>
              </w:rPr>
              <w:t xml:space="preserve">. </w:t>
            </w:r>
            <w:r w:rsidR="00173C92" w:rsidRPr="003665A3">
              <w:rPr>
                <w:sz w:val="22"/>
                <w:szCs w:val="22"/>
              </w:rPr>
              <w:t xml:space="preserve">We then centrifuged the tubes at 1200 rpm for 5 minutes and retrieved the supernatant for MC concentration (in ppb) analysis using an enzyme-linked immunosorbent assay (ELISA EP-022, QuantiPlateTM Kit, Envirologix, Inc.,Portland, ME, USA). </w:t>
            </w:r>
            <w:r w:rsidR="00F462E5" w:rsidRPr="003665A3">
              <w:rPr>
                <w:sz w:val="22"/>
                <w:szCs w:val="22"/>
              </w:rPr>
              <w:t>This method does not distinguish between MC variants (four possible microcystin types include MC-LR, MC-LA, MC-RR, or MC-YR).</w:t>
            </w:r>
          </w:p>
        </w:tc>
      </w:tr>
      <w:tr w:rsidR="008D563A" w:rsidRPr="003665A3" w14:paraId="5A28846E" w14:textId="77777777" w:rsidTr="00FC53DF">
        <w:tc>
          <w:tcPr>
            <w:tcW w:w="2988" w:type="dxa"/>
          </w:tcPr>
          <w:p w14:paraId="649907D6" w14:textId="77777777" w:rsidR="008D563A" w:rsidRPr="003665A3" w:rsidRDefault="008D563A" w:rsidP="008846B8">
            <w:pPr>
              <w:pStyle w:val="NormalWeb"/>
              <w:spacing w:afterLines="60" w:after="144" w:afterAutospacing="0"/>
              <w:contextualSpacing/>
              <w:rPr>
                <w:b/>
                <w:sz w:val="22"/>
                <w:szCs w:val="22"/>
              </w:rPr>
            </w:pPr>
            <w:r w:rsidRPr="003665A3">
              <w:rPr>
                <w:b/>
              </w:rPr>
              <w:lastRenderedPageBreak/>
              <w:t>Laboratory, field, or other analytical methods</w:t>
            </w:r>
          </w:p>
        </w:tc>
        <w:tc>
          <w:tcPr>
            <w:tcW w:w="7020" w:type="dxa"/>
          </w:tcPr>
          <w:p w14:paraId="64DF92A2" w14:textId="1CDC4C6A" w:rsidR="00E80155" w:rsidRPr="003665A3" w:rsidRDefault="00E80155" w:rsidP="008846B8">
            <w:pPr>
              <w:spacing w:afterLines="60" w:after="144"/>
              <w:rPr>
                <w:sz w:val="22"/>
                <w:szCs w:val="22"/>
                <w:u w:val="single"/>
              </w:rPr>
            </w:pPr>
            <w:r w:rsidRPr="003665A3">
              <w:rPr>
                <w:sz w:val="22"/>
                <w:szCs w:val="22"/>
                <w:u w:val="single"/>
              </w:rPr>
              <w:t>Generating Cyanobacteria Growth Dataset &amp; Analysis:</w:t>
            </w:r>
          </w:p>
          <w:p w14:paraId="4A6C453D" w14:textId="45FED4D6" w:rsidR="00417561" w:rsidRPr="003665A3" w:rsidRDefault="00417561" w:rsidP="00417561">
            <w:pPr>
              <w:rPr>
                <w:b/>
                <w:sz w:val="22"/>
                <w:szCs w:val="22"/>
              </w:rPr>
            </w:pPr>
            <w:r w:rsidRPr="003665A3">
              <w:rPr>
                <w:b/>
                <w:sz w:val="22"/>
                <w:szCs w:val="22"/>
              </w:rPr>
              <w:t>See “Cyano_TPC_stats_code” R script for more details on the following analyses.</w:t>
            </w:r>
          </w:p>
          <w:p w14:paraId="5C37F653" w14:textId="77777777" w:rsidR="00417561" w:rsidRPr="003665A3" w:rsidRDefault="00417561" w:rsidP="00417561">
            <w:pPr>
              <w:rPr>
                <w:sz w:val="22"/>
                <w:szCs w:val="22"/>
              </w:rPr>
            </w:pPr>
          </w:p>
          <w:p w14:paraId="07D67F2C" w14:textId="67463222" w:rsidR="00680F0C" w:rsidRPr="003665A3" w:rsidRDefault="00173C92" w:rsidP="002E0AFA">
            <w:pPr>
              <w:rPr>
                <w:color w:val="000000"/>
                <w:sz w:val="22"/>
                <w:szCs w:val="22"/>
              </w:rPr>
            </w:pPr>
            <w:r w:rsidRPr="003665A3">
              <w:rPr>
                <w:color w:val="000000"/>
                <w:sz w:val="22"/>
                <w:szCs w:val="22"/>
              </w:rPr>
              <w:t xml:space="preserve">We performed all analyses in R </w:t>
            </w:r>
            <w:r w:rsidRPr="003665A3">
              <w:rPr>
                <w:color w:val="000000"/>
                <w:sz w:val="22"/>
                <w:szCs w:val="22"/>
              </w:rPr>
              <w:fldChar w:fldCharType="begin"/>
            </w:r>
            <w:r w:rsidRPr="003665A3">
              <w:rPr>
                <w:color w:val="000000"/>
                <w:sz w:val="22"/>
                <w:szCs w:val="22"/>
              </w:rPr>
              <w:instrText xml:space="preserve"> ADDIN ZOTERO_ITEM CSL_CITATION {"citationID":"G2OGCZtu","properties":{"formattedCitation":"(R Core Team 2019)","plainCitation":"(R Core Team 2019)","noteIndex":0},"citationItems":[{"id":610,"uris":["http://zotero.org/groups/2333201/items/VZT5B5UW"],"uri":["http://zotero.org/groups/2333201/items/VZT5B5UW"],"itemData":{"id":610,"type":"book","event-place":"Vienna,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3665A3">
              <w:rPr>
                <w:color w:val="000000"/>
                <w:sz w:val="22"/>
                <w:szCs w:val="22"/>
              </w:rPr>
              <w:fldChar w:fldCharType="separate"/>
            </w:r>
            <w:r w:rsidRPr="003665A3">
              <w:rPr>
                <w:noProof/>
                <w:color w:val="000000"/>
                <w:sz w:val="22"/>
                <w:szCs w:val="22"/>
              </w:rPr>
              <w:t>(R Core Team 2019)</w:t>
            </w:r>
            <w:r w:rsidRPr="003665A3">
              <w:rPr>
                <w:color w:val="000000"/>
                <w:sz w:val="22"/>
                <w:szCs w:val="22"/>
              </w:rPr>
              <w:fldChar w:fldCharType="end"/>
            </w:r>
            <w:r w:rsidRPr="003665A3">
              <w:rPr>
                <w:color w:val="000000"/>
                <w:sz w:val="22"/>
                <w:szCs w:val="22"/>
              </w:rPr>
              <w:t xml:space="preserve">, unless otherwise noted. We used the slope of the linear relationship between log fluorescence and time in days to represent growth rate (calculated in R using the </w:t>
            </w:r>
            <w:r w:rsidRPr="003665A3">
              <w:rPr>
                <w:sz w:val="22"/>
                <w:szCs w:val="22"/>
              </w:rPr>
              <w:t>growthTools package, DOI:10.5281/zenodo.3634918</w:t>
            </w:r>
            <w:r w:rsidRPr="003665A3">
              <w:rPr>
                <w:color w:val="000000"/>
                <w:sz w:val="22"/>
                <w:szCs w:val="22"/>
              </w:rPr>
              <w:t xml:space="preserve">). </w:t>
            </w:r>
            <w:r w:rsidR="003A265F" w:rsidRPr="003665A3">
              <w:rPr>
                <w:color w:val="000000"/>
                <w:sz w:val="22"/>
                <w:szCs w:val="22"/>
              </w:rPr>
              <w:t>These values are provided in the “</w:t>
            </w:r>
            <w:r w:rsidR="003A265F" w:rsidRPr="003665A3">
              <w:rPr>
                <w:sz w:val="22"/>
                <w:szCs w:val="22"/>
              </w:rPr>
              <w:t>Cyano_growth_data</w:t>
            </w:r>
            <w:r w:rsidR="000A00D8" w:rsidRPr="003665A3">
              <w:rPr>
                <w:sz w:val="22"/>
                <w:szCs w:val="22"/>
              </w:rPr>
              <w:t>.csv</w:t>
            </w:r>
            <w:r w:rsidR="003A265F" w:rsidRPr="003665A3">
              <w:rPr>
                <w:sz w:val="22"/>
                <w:szCs w:val="22"/>
              </w:rPr>
              <w:t xml:space="preserve">” dataset. </w:t>
            </w:r>
            <w:r w:rsidRPr="003665A3">
              <w:rPr>
                <w:color w:val="000000"/>
                <w:sz w:val="22"/>
                <w:szCs w:val="22"/>
              </w:rPr>
              <w:t xml:space="preserve">We then used these growth rates to generate TPCs (relating growth rate to temperature) characterized using generalized additive models (GAMs) via the mgcv package </w:t>
            </w:r>
            <w:r w:rsidRPr="003665A3">
              <w:rPr>
                <w:color w:val="000000"/>
                <w:sz w:val="22"/>
                <w:szCs w:val="22"/>
              </w:rPr>
              <w:fldChar w:fldCharType="begin"/>
            </w:r>
            <w:r w:rsidRPr="003665A3">
              <w:rPr>
                <w:color w:val="000000"/>
                <w:sz w:val="22"/>
                <w:szCs w:val="22"/>
              </w:rPr>
              <w:instrText xml:space="preserve"> ADDIN ZOTERO_ITEM CSL_CITATION {"citationID":"asln9q8iln","properties":{"formattedCitation":"(Wood 2017)","plainCitation":"(Wood 2017)","noteIndex":0},"citationItems":[{"id":611,"uris":["http://zotero.org/groups/2333201/items/TCFB2D3V"],"uri":["http://zotero.org/groups/2333201/items/TCFB2D3V"],"itemData":{"id":611,"type":"book","edition":"2nd","publisher":"Chapman and Hall/CRC","title":"Generalized Additive Models: An Introduction with R","author":[{"family":"Wood","given":"Simon"}],"issued":{"date-parts":[["2017"]]}}}],"schema":"https://github.com/citation-style-language/schema/raw/master/csl-citation.json"} </w:instrText>
            </w:r>
            <w:r w:rsidRPr="003665A3">
              <w:rPr>
                <w:color w:val="000000"/>
                <w:sz w:val="22"/>
                <w:szCs w:val="22"/>
              </w:rPr>
              <w:fldChar w:fldCharType="separate"/>
            </w:r>
            <w:r w:rsidRPr="003665A3">
              <w:rPr>
                <w:color w:val="000000"/>
                <w:sz w:val="22"/>
                <w:szCs w:val="22"/>
              </w:rPr>
              <w:t>(Wood 2017</w:t>
            </w:r>
            <w:r w:rsidR="002E0AFA" w:rsidRPr="003665A3">
              <w:rPr>
                <w:color w:val="000000"/>
                <w:sz w:val="22"/>
                <w:szCs w:val="22"/>
              </w:rPr>
              <w:t xml:space="preserve">, </w:t>
            </w:r>
            <w:r w:rsidR="0031329F" w:rsidRPr="003665A3">
              <w:rPr>
                <w:color w:val="000000" w:themeColor="text1"/>
                <w:sz w:val="22"/>
                <w:szCs w:val="22"/>
                <w:shd w:val="clear" w:color="auto" w:fill="FFFFFF"/>
              </w:rPr>
              <w:t>DOI:</w:t>
            </w:r>
            <w:r w:rsidR="002E0AFA" w:rsidRPr="003665A3">
              <w:rPr>
                <w:color w:val="000000" w:themeColor="text1"/>
                <w:sz w:val="22"/>
                <w:szCs w:val="22"/>
                <w:shd w:val="clear" w:color="auto" w:fill="FFFFFF"/>
              </w:rPr>
              <w:t>10.1201/9781315370279</w:t>
            </w:r>
            <w:r w:rsidR="00680F0C" w:rsidRPr="003665A3">
              <w:rPr>
                <w:color w:val="000000" w:themeColor="text1"/>
                <w:sz w:val="22"/>
                <w:szCs w:val="22"/>
                <w:shd w:val="clear" w:color="auto" w:fill="FFFFFF"/>
              </w:rPr>
              <w:t>; see "Cyano_TPC_code" R script for more details</w:t>
            </w:r>
            <w:r w:rsidRPr="003665A3">
              <w:rPr>
                <w:color w:val="000000"/>
                <w:sz w:val="22"/>
                <w:szCs w:val="22"/>
              </w:rPr>
              <w:t>)</w:t>
            </w:r>
            <w:r w:rsidRPr="003665A3">
              <w:rPr>
                <w:color w:val="000000"/>
                <w:sz w:val="22"/>
                <w:szCs w:val="22"/>
              </w:rPr>
              <w:fldChar w:fldCharType="end"/>
            </w:r>
            <w:r w:rsidR="00680F0C" w:rsidRPr="003665A3">
              <w:rPr>
                <w:color w:val="000000"/>
                <w:sz w:val="22"/>
                <w:szCs w:val="22"/>
              </w:rPr>
              <w:t xml:space="preserve">. </w:t>
            </w:r>
          </w:p>
          <w:p w14:paraId="13CB46E5" w14:textId="77777777" w:rsidR="00680F0C" w:rsidRPr="003665A3" w:rsidRDefault="00680F0C" w:rsidP="002E0AFA">
            <w:pPr>
              <w:rPr>
                <w:color w:val="000000"/>
                <w:sz w:val="22"/>
                <w:szCs w:val="22"/>
              </w:rPr>
            </w:pPr>
          </w:p>
          <w:p w14:paraId="478A7D18" w14:textId="34487449" w:rsidR="00173C92" w:rsidRPr="003665A3" w:rsidRDefault="00173C92" w:rsidP="002E0AFA">
            <w:pPr>
              <w:rPr>
                <w:sz w:val="22"/>
                <w:szCs w:val="22"/>
              </w:rPr>
            </w:pPr>
            <w:r w:rsidRPr="003665A3">
              <w:rPr>
                <w:color w:val="000000"/>
                <w:sz w:val="22"/>
                <w:szCs w:val="22"/>
              </w:rPr>
              <w:t xml:space="preserve">To verify the chosen model, we tested three hypotheses using AIC for three different GAM-fits (binned by species and nutrient condition): </w:t>
            </w:r>
            <w:r w:rsidR="003A265F" w:rsidRPr="003665A3">
              <w:rPr>
                <w:color w:val="000000"/>
                <w:sz w:val="22"/>
                <w:szCs w:val="22"/>
              </w:rPr>
              <w:t xml:space="preserve">(1) </w:t>
            </w:r>
            <w:r w:rsidR="00E55A15" w:rsidRPr="003665A3">
              <w:rPr>
                <w:color w:val="000000"/>
                <w:sz w:val="22"/>
                <w:szCs w:val="22"/>
              </w:rPr>
              <w:t>TPCs are independent of acclimation history</w:t>
            </w:r>
            <w:r w:rsidR="003A265F" w:rsidRPr="003665A3">
              <w:rPr>
                <w:color w:val="000000"/>
                <w:sz w:val="22"/>
                <w:szCs w:val="22"/>
              </w:rPr>
              <w:t xml:space="preserve"> (</w:t>
            </w:r>
            <w:r w:rsidR="003A265F" w:rsidRPr="003665A3">
              <w:rPr>
                <w:sz w:val="22"/>
                <w:szCs w:val="22"/>
              </w:rPr>
              <w:t>GAM 1, generates a single intercept and curve for compiled data)</w:t>
            </w:r>
            <w:r w:rsidRPr="003665A3">
              <w:rPr>
                <w:color w:val="000000"/>
                <w:sz w:val="22"/>
                <w:szCs w:val="22"/>
              </w:rPr>
              <w:t>,</w:t>
            </w:r>
            <w:r w:rsidRPr="003665A3">
              <w:rPr>
                <w:sz w:val="22"/>
                <w:szCs w:val="22"/>
              </w:rPr>
              <w:t xml:space="preserve"> </w:t>
            </w:r>
            <w:r w:rsidR="003A265F" w:rsidRPr="003665A3">
              <w:rPr>
                <w:sz w:val="22"/>
                <w:szCs w:val="22"/>
              </w:rPr>
              <w:t xml:space="preserve">(2) </w:t>
            </w:r>
            <w:r w:rsidR="00E55A15" w:rsidRPr="003665A3">
              <w:rPr>
                <w:sz w:val="22"/>
                <w:szCs w:val="22"/>
              </w:rPr>
              <w:t>acclimation history influences the elevation of TPCs</w:t>
            </w:r>
            <w:r w:rsidR="003A265F" w:rsidRPr="003665A3">
              <w:rPr>
                <w:sz w:val="22"/>
                <w:szCs w:val="22"/>
              </w:rPr>
              <w:t xml:space="preserve"> (GAM 2, generates different intercepts by acclimation temperature),</w:t>
            </w:r>
            <w:r w:rsidRPr="003665A3">
              <w:rPr>
                <w:sz w:val="22"/>
                <w:szCs w:val="22"/>
              </w:rPr>
              <w:t xml:space="preserve"> and (</w:t>
            </w:r>
            <w:r w:rsidR="003A265F" w:rsidRPr="003665A3">
              <w:rPr>
                <w:sz w:val="22"/>
                <w:szCs w:val="22"/>
              </w:rPr>
              <w:t xml:space="preserve">3) </w:t>
            </w:r>
            <w:r w:rsidRPr="003665A3">
              <w:rPr>
                <w:sz w:val="22"/>
                <w:szCs w:val="22"/>
              </w:rPr>
              <w:t xml:space="preserve"> acclimation history influences the </w:t>
            </w:r>
            <w:r w:rsidR="00E55A15" w:rsidRPr="003665A3">
              <w:rPr>
                <w:sz w:val="22"/>
                <w:szCs w:val="22"/>
              </w:rPr>
              <w:t>elevation</w:t>
            </w:r>
            <w:r w:rsidRPr="003665A3">
              <w:rPr>
                <w:sz w:val="22"/>
                <w:szCs w:val="22"/>
              </w:rPr>
              <w:t xml:space="preserve"> and shape of TPCs (</w:t>
            </w:r>
            <w:r w:rsidR="003A265F" w:rsidRPr="003665A3">
              <w:rPr>
                <w:sz w:val="22"/>
                <w:szCs w:val="22"/>
              </w:rPr>
              <w:t>GAM 3, generates different intercepts and curve shapes by acclimation temperature</w:t>
            </w:r>
            <w:r w:rsidRPr="003665A3">
              <w:rPr>
                <w:color w:val="000000"/>
                <w:sz w:val="22"/>
                <w:szCs w:val="22"/>
              </w:rPr>
              <w:t>).</w:t>
            </w:r>
            <w:r w:rsidRPr="003665A3">
              <w:rPr>
                <w:sz w:val="22"/>
                <w:szCs w:val="22"/>
              </w:rPr>
              <w:t xml:space="preserve"> We used the best fit model (3) for the remaining statistical analysis, binned by species and nutrient condition. To test how often cold- or hot-acclimated populations differed in growth rates from fully-acclimated populations, we quantified the extent of overlap in C</w:t>
            </w:r>
            <w:r w:rsidR="00417561" w:rsidRPr="003665A3">
              <w:rPr>
                <w:sz w:val="22"/>
                <w:szCs w:val="22"/>
              </w:rPr>
              <w:t>I</w:t>
            </w:r>
            <w:r w:rsidRPr="003665A3">
              <w:rPr>
                <w:sz w:val="22"/>
                <w:szCs w:val="22"/>
              </w:rPr>
              <w:t>s between respective TPCs</w:t>
            </w:r>
            <w:r w:rsidR="00417561" w:rsidRPr="003665A3">
              <w:rPr>
                <w:sz w:val="22"/>
                <w:szCs w:val="22"/>
              </w:rPr>
              <w:t xml:space="preserve"> and considered instances where treatments exhibited non-overlapping confidence intervals to be statistically significantly different</w:t>
            </w:r>
            <w:r w:rsidRPr="003665A3">
              <w:rPr>
                <w:sz w:val="22"/>
                <w:szCs w:val="22"/>
              </w:rPr>
              <w:t xml:space="preserve">. Lastly, we quantified the magnitude of under- or over-performance of hot- and cold- acclimated populations relative to fully-acclimated populations </w:t>
            </w:r>
            <w:r w:rsidR="00417561" w:rsidRPr="003665A3">
              <w:rPr>
                <w:sz w:val="22"/>
                <w:szCs w:val="22"/>
              </w:rPr>
              <w:t xml:space="preserve">by subtracting the fully-acclimated growth rates (i.e. “expected”) from respective cold- or hot- acclimated growth rates (i.e. “observed”) and divided this by the absolute value of “expected,” all averaged over replicates. </w:t>
            </w:r>
          </w:p>
          <w:p w14:paraId="0AE889C9" w14:textId="77777777" w:rsidR="003A265F" w:rsidRPr="003665A3" w:rsidRDefault="003A265F" w:rsidP="002E0AFA">
            <w:pPr>
              <w:rPr>
                <w:sz w:val="22"/>
                <w:szCs w:val="22"/>
              </w:rPr>
            </w:pPr>
          </w:p>
          <w:p w14:paraId="2F0A45D2" w14:textId="7636BF6C" w:rsidR="00E80155" w:rsidRPr="003665A3" w:rsidRDefault="00E80155" w:rsidP="008846B8">
            <w:pPr>
              <w:spacing w:afterLines="60" w:after="144"/>
              <w:rPr>
                <w:sz w:val="22"/>
                <w:szCs w:val="22"/>
              </w:rPr>
            </w:pPr>
            <w:r w:rsidRPr="003665A3">
              <w:rPr>
                <w:sz w:val="22"/>
                <w:szCs w:val="22"/>
                <w:u w:val="single"/>
              </w:rPr>
              <w:t>Generating Cyanotoxin Dataset &amp; Analysis</w:t>
            </w:r>
            <w:r w:rsidRPr="003665A3">
              <w:rPr>
                <w:sz w:val="22"/>
                <w:szCs w:val="22"/>
              </w:rPr>
              <w:t>:</w:t>
            </w:r>
          </w:p>
          <w:p w14:paraId="2D5A84F3" w14:textId="2A4887C4" w:rsidR="00417561" w:rsidRPr="003665A3" w:rsidRDefault="00417561" w:rsidP="008846B8">
            <w:pPr>
              <w:spacing w:afterLines="60" w:after="144"/>
              <w:rPr>
                <w:b/>
                <w:sz w:val="22"/>
                <w:szCs w:val="22"/>
              </w:rPr>
            </w:pPr>
            <w:r w:rsidRPr="003665A3">
              <w:rPr>
                <w:b/>
                <w:sz w:val="22"/>
                <w:szCs w:val="22"/>
              </w:rPr>
              <w:t>See “Cyano_toxins_code” R script for more details on the following analyses.</w:t>
            </w:r>
          </w:p>
          <w:p w14:paraId="612274D3" w14:textId="66F85696" w:rsidR="00F462E5" w:rsidRPr="003665A3" w:rsidRDefault="007C2BE8" w:rsidP="008846B8">
            <w:pPr>
              <w:spacing w:afterLines="60" w:after="144"/>
              <w:rPr>
                <w:sz w:val="22"/>
                <w:szCs w:val="22"/>
              </w:rPr>
            </w:pPr>
            <w:r w:rsidRPr="003665A3">
              <w:rPr>
                <w:sz w:val="22"/>
                <w:szCs w:val="22"/>
              </w:rPr>
              <w:t>Sample dilutions prior to analyses</w:t>
            </w:r>
            <w:r w:rsidR="00F462E5" w:rsidRPr="003665A3">
              <w:rPr>
                <w:sz w:val="22"/>
                <w:szCs w:val="22"/>
              </w:rPr>
              <w:t xml:space="preserve"> allowed us to obtain concentration values within the limits of detection set by the ELISA standards (0-2 ppb). We used the exponential decay curve (MC concentration by absorbance at 450nm) generated using the ELISA standards to predict concentration values (in ppb </w:t>
            </w:r>
            <w:r w:rsidR="00F462E5" w:rsidRPr="003665A3">
              <w:rPr>
                <w:sz w:val="22"/>
                <w:szCs w:val="22"/>
              </w:rPr>
              <w:lastRenderedPageBreak/>
              <w:t xml:space="preserve">of MC) for the samples over the same absorbance spectrum, averaged over duplicates. </w:t>
            </w:r>
            <w:r w:rsidR="00902085" w:rsidRPr="003665A3">
              <w:rPr>
                <w:sz w:val="22"/>
                <w:szCs w:val="22"/>
              </w:rPr>
              <w:t>We later corrected these values based on their respective dilution factors.</w:t>
            </w:r>
          </w:p>
          <w:p w14:paraId="7E74807D" w14:textId="52826CB3" w:rsidR="00642DCF" w:rsidRPr="003665A3" w:rsidRDefault="00642DCF" w:rsidP="008846B8">
            <w:pPr>
              <w:spacing w:afterLines="60" w:after="144"/>
              <w:rPr>
                <w:color w:val="000000"/>
                <w:sz w:val="22"/>
                <w:szCs w:val="22"/>
              </w:rPr>
            </w:pPr>
            <w:r w:rsidRPr="003665A3">
              <w:rPr>
                <w:color w:val="000000"/>
                <w:sz w:val="22"/>
                <w:szCs w:val="22"/>
              </w:rPr>
              <w:t>In addition to total MC content</w:t>
            </w:r>
            <w:r w:rsidR="002A2496" w:rsidRPr="003665A3">
              <w:rPr>
                <w:color w:val="000000"/>
                <w:sz w:val="22"/>
                <w:szCs w:val="22"/>
              </w:rPr>
              <w:t xml:space="preserve"> over 5 days</w:t>
            </w:r>
            <w:r w:rsidRPr="003665A3">
              <w:rPr>
                <w:color w:val="000000"/>
                <w:sz w:val="22"/>
                <w:szCs w:val="22"/>
              </w:rPr>
              <w:t xml:space="preserve">, </w:t>
            </w:r>
            <w:r w:rsidR="002A2496" w:rsidRPr="003665A3">
              <w:rPr>
                <w:color w:val="000000"/>
                <w:sz w:val="22"/>
                <w:szCs w:val="22"/>
              </w:rPr>
              <w:t>we estimated the per cell MC production rate (day</w:t>
            </w:r>
            <w:r w:rsidR="002A2496" w:rsidRPr="003665A3">
              <w:rPr>
                <w:color w:val="000000"/>
                <w:sz w:val="22"/>
                <w:szCs w:val="22"/>
                <w:vertAlign w:val="superscript"/>
              </w:rPr>
              <w:t>-1</w:t>
            </w:r>
            <w:r w:rsidR="002A2496" w:rsidRPr="003665A3">
              <w:rPr>
                <w:color w:val="000000"/>
                <w:sz w:val="22"/>
                <w:szCs w:val="22"/>
              </w:rPr>
              <w:t>)</w:t>
            </w:r>
            <w:r w:rsidRPr="003665A3">
              <w:rPr>
                <w:color w:val="000000"/>
                <w:sz w:val="22"/>
                <w:szCs w:val="22"/>
              </w:rPr>
              <w:t>. We estimated cell counts using an established linear relationship (R</w:t>
            </w:r>
            <w:r w:rsidRPr="003665A3">
              <w:rPr>
                <w:color w:val="000000"/>
                <w:sz w:val="22"/>
                <w:szCs w:val="22"/>
                <w:vertAlign w:val="superscript"/>
              </w:rPr>
              <w:t>2</w:t>
            </w:r>
            <w:r w:rsidRPr="003665A3">
              <w:rPr>
                <w:color w:val="000000"/>
                <w:sz w:val="22"/>
                <w:szCs w:val="22"/>
              </w:rPr>
              <w:t xml:space="preserve"> = 0.99) between raw fluorescence units and particle (cell) counts (from a Spectrex Laser Particle Counter, Spectrex Corp., Redwood City, CA, USA). To infer the per cell toxin production rate, </w:t>
            </w:r>
            <w:r w:rsidRPr="003665A3">
              <w:rPr>
                <w:i/>
                <w:color w:val="000000"/>
                <w:sz w:val="22"/>
                <w:szCs w:val="22"/>
              </w:rPr>
              <w:t>x</w:t>
            </w:r>
            <w:r w:rsidRPr="003665A3">
              <w:rPr>
                <w:color w:val="000000"/>
                <w:sz w:val="22"/>
                <w:szCs w:val="22"/>
              </w:rPr>
              <w:t xml:space="preserve">, we then used the following model: </w:t>
            </w:r>
          </w:p>
          <w:p w14:paraId="56723EFC" w14:textId="77777777" w:rsidR="00642DCF" w:rsidRPr="003665A3" w:rsidRDefault="002032A6" w:rsidP="008846B8">
            <w:pPr>
              <w:spacing w:afterLines="60" w:after="144"/>
              <w:ind w:firstLine="720"/>
              <w:rPr>
                <w:rFonts w:eastAsiaTheme="minorEastAsia"/>
                <w:color w:val="000000"/>
                <w:sz w:val="22"/>
                <w:szCs w:val="22"/>
              </w:rPr>
            </w:pPr>
            <m:oMath>
              <m:f>
                <m:fPr>
                  <m:ctrlPr>
                    <w:rPr>
                      <w:rFonts w:ascii="Cambria Math" w:hAnsi="Cambria Math"/>
                      <w:i/>
                      <w:color w:val="000000"/>
                      <w:sz w:val="22"/>
                      <w:szCs w:val="22"/>
                    </w:rPr>
                  </m:ctrlPr>
                </m:fPr>
                <m:num>
                  <m:r>
                    <w:rPr>
                      <w:rFonts w:ascii="Cambria Math" w:hAnsi="Cambria Math"/>
                      <w:color w:val="000000"/>
                      <w:sz w:val="22"/>
                      <w:szCs w:val="22"/>
                    </w:rPr>
                    <m:t>dN</m:t>
                  </m:r>
                </m:num>
                <m:den>
                  <m:r>
                    <w:rPr>
                      <w:rFonts w:ascii="Cambria Math" w:hAnsi="Cambria Math"/>
                      <w:color w:val="000000"/>
                      <w:sz w:val="22"/>
                      <w:szCs w:val="22"/>
                    </w:rPr>
                    <m:t>dt</m:t>
                  </m:r>
                </m:den>
              </m:f>
              <m:r>
                <w:rPr>
                  <w:rFonts w:ascii="Cambria Math" w:hAnsi="Cambria Math"/>
                  <w:color w:val="000000"/>
                  <w:sz w:val="22"/>
                  <w:szCs w:val="22"/>
                </w:rPr>
                <m:t>=rN</m:t>
              </m:r>
            </m:oMath>
            <w:r w:rsidR="00642DCF" w:rsidRPr="003665A3">
              <w:rPr>
                <w:rFonts w:eastAsiaTheme="minorEastAsia"/>
                <w:color w:val="000000"/>
                <w:sz w:val="22"/>
                <w:szCs w:val="22"/>
              </w:rPr>
              <w:t xml:space="preserve"> </w:t>
            </w:r>
          </w:p>
          <w:p w14:paraId="77E721E2" w14:textId="77777777" w:rsidR="00642DCF" w:rsidRPr="003665A3" w:rsidRDefault="002032A6" w:rsidP="008846B8">
            <w:pPr>
              <w:spacing w:afterLines="60" w:after="144"/>
              <w:ind w:firstLine="720"/>
              <w:rPr>
                <w:rFonts w:eastAsiaTheme="minorEastAsia"/>
                <w:color w:val="000000"/>
                <w:sz w:val="22"/>
                <w:szCs w:val="22"/>
              </w:rPr>
            </w:pPr>
            <m:oMath>
              <m:f>
                <m:fPr>
                  <m:ctrlPr>
                    <w:rPr>
                      <w:rFonts w:ascii="Cambria Math" w:hAnsi="Cambria Math"/>
                      <w:i/>
                      <w:color w:val="000000"/>
                      <w:sz w:val="22"/>
                      <w:szCs w:val="22"/>
                    </w:rPr>
                  </m:ctrlPr>
                </m:fPr>
                <m:num>
                  <m:r>
                    <w:rPr>
                      <w:rFonts w:ascii="Cambria Math" w:hAnsi="Cambria Math"/>
                      <w:color w:val="000000"/>
                      <w:sz w:val="22"/>
                      <w:szCs w:val="22"/>
                    </w:rPr>
                    <m:t>d</m:t>
                  </m:r>
                  <m:r>
                    <m:rPr>
                      <m:sty m:val="p"/>
                    </m:rPr>
                    <w:rPr>
                      <w:rFonts w:ascii="Cambria Math" w:hAnsi="Cambria Math"/>
                      <w:color w:val="000000"/>
                      <w:sz w:val="22"/>
                      <w:szCs w:val="22"/>
                    </w:rPr>
                    <w:sym w:font="Symbol" w:char="F074"/>
                  </m:r>
                </m:num>
                <m:den>
                  <m:r>
                    <w:rPr>
                      <w:rFonts w:ascii="Cambria Math" w:hAnsi="Cambria Math"/>
                      <w:color w:val="000000"/>
                      <w:sz w:val="22"/>
                      <w:szCs w:val="22"/>
                    </w:rPr>
                    <m:t>dt</m:t>
                  </m:r>
                </m:den>
              </m:f>
              <m:r>
                <w:rPr>
                  <w:rFonts w:ascii="Cambria Math" w:hAnsi="Cambria Math"/>
                  <w:color w:val="000000"/>
                  <w:sz w:val="22"/>
                  <w:szCs w:val="22"/>
                </w:rPr>
                <m:t>=xN-l</m:t>
              </m:r>
              <m:r>
                <m:rPr>
                  <m:sty m:val="p"/>
                </m:rPr>
                <w:rPr>
                  <w:rFonts w:ascii="Cambria Math" w:hAnsi="Cambria Math"/>
                  <w:color w:val="000000"/>
                  <w:sz w:val="22"/>
                  <w:szCs w:val="22"/>
                </w:rPr>
                <w:sym w:font="Symbol" w:char="F074"/>
              </m:r>
            </m:oMath>
            <w:r w:rsidR="00642DCF" w:rsidRPr="003665A3">
              <w:rPr>
                <w:rFonts w:eastAsiaTheme="minorEastAsia"/>
                <w:color w:val="000000"/>
                <w:sz w:val="22"/>
                <w:szCs w:val="22"/>
              </w:rPr>
              <w:t xml:space="preserve">  </w:t>
            </w:r>
            <w:r w:rsidR="00642DCF" w:rsidRPr="003665A3">
              <w:rPr>
                <w:rFonts w:eastAsiaTheme="minorEastAsia"/>
                <w:color w:val="000000"/>
                <w:sz w:val="22"/>
                <w:szCs w:val="22"/>
              </w:rPr>
              <w:tab/>
            </w:r>
            <w:r w:rsidR="00642DCF" w:rsidRPr="003665A3">
              <w:rPr>
                <w:rFonts w:eastAsiaTheme="minorEastAsia"/>
                <w:color w:val="000000"/>
                <w:sz w:val="22"/>
                <w:szCs w:val="22"/>
              </w:rPr>
              <w:tab/>
            </w:r>
            <w:r w:rsidR="00642DCF" w:rsidRPr="003665A3">
              <w:rPr>
                <w:rFonts w:eastAsiaTheme="minorEastAsia"/>
                <w:color w:val="000000"/>
                <w:sz w:val="22"/>
                <w:szCs w:val="22"/>
              </w:rPr>
              <w:tab/>
            </w:r>
            <w:r w:rsidR="00642DCF" w:rsidRPr="003665A3">
              <w:rPr>
                <w:rFonts w:eastAsiaTheme="minorEastAsia"/>
                <w:color w:val="000000"/>
                <w:sz w:val="22"/>
                <w:szCs w:val="22"/>
              </w:rPr>
              <w:tab/>
            </w:r>
            <w:r w:rsidR="00642DCF" w:rsidRPr="003665A3">
              <w:rPr>
                <w:rFonts w:eastAsiaTheme="minorEastAsia"/>
                <w:color w:val="000000"/>
                <w:sz w:val="22"/>
                <w:szCs w:val="22"/>
              </w:rPr>
              <w:tab/>
            </w:r>
            <w:r w:rsidR="00642DCF" w:rsidRPr="003665A3">
              <w:rPr>
                <w:rFonts w:eastAsiaTheme="minorEastAsia"/>
                <w:color w:val="000000"/>
                <w:sz w:val="22"/>
                <w:szCs w:val="22"/>
              </w:rPr>
              <w:tab/>
            </w:r>
            <w:r w:rsidR="00642DCF" w:rsidRPr="003665A3">
              <w:rPr>
                <w:rFonts w:eastAsiaTheme="minorEastAsia"/>
                <w:color w:val="000000"/>
                <w:sz w:val="22"/>
                <w:szCs w:val="22"/>
              </w:rPr>
              <w:tab/>
            </w:r>
            <w:r w:rsidR="00642DCF" w:rsidRPr="003665A3">
              <w:rPr>
                <w:rFonts w:eastAsiaTheme="minorEastAsia"/>
                <w:color w:val="000000"/>
                <w:sz w:val="22"/>
                <w:szCs w:val="22"/>
              </w:rPr>
              <w:tab/>
            </w:r>
            <w:r w:rsidR="00642DCF" w:rsidRPr="003665A3">
              <w:rPr>
                <w:rFonts w:eastAsiaTheme="minorEastAsia"/>
                <w:color w:val="000000"/>
                <w:sz w:val="22"/>
                <w:szCs w:val="22"/>
              </w:rPr>
              <w:tab/>
            </w:r>
            <w:r w:rsidR="00642DCF" w:rsidRPr="003665A3">
              <w:rPr>
                <w:rFonts w:eastAsiaTheme="minorEastAsia"/>
                <w:color w:val="000000"/>
                <w:sz w:val="22"/>
                <w:szCs w:val="22"/>
              </w:rPr>
              <w:tab/>
              <w:t>[E.1]</w:t>
            </w:r>
          </w:p>
          <w:p w14:paraId="790BE138" w14:textId="77777777" w:rsidR="00642DCF" w:rsidRPr="003665A3" w:rsidRDefault="00642DCF" w:rsidP="008846B8">
            <w:pPr>
              <w:spacing w:afterLines="60" w:after="144"/>
              <w:rPr>
                <w:rFonts w:eastAsiaTheme="minorEastAsia"/>
                <w:color w:val="000000"/>
                <w:sz w:val="22"/>
                <w:szCs w:val="22"/>
              </w:rPr>
            </w:pPr>
            <w:r w:rsidRPr="003665A3">
              <w:rPr>
                <w:color w:val="000000"/>
                <w:sz w:val="22"/>
                <w:szCs w:val="22"/>
              </w:rPr>
              <w:t xml:space="preserve">Here, the density of cyanobacteria cells, </w:t>
            </w:r>
            <w:r w:rsidRPr="003665A3">
              <w:rPr>
                <w:i/>
                <w:color w:val="000000"/>
                <w:sz w:val="22"/>
                <w:szCs w:val="22"/>
              </w:rPr>
              <w:t xml:space="preserve">N, </w:t>
            </w:r>
            <w:r w:rsidRPr="003665A3">
              <w:rPr>
                <w:color w:val="000000"/>
                <w:sz w:val="22"/>
                <w:szCs w:val="22"/>
              </w:rPr>
              <w:t xml:space="preserve">changes exponentially over time with growth rate </w:t>
            </w:r>
            <w:r w:rsidRPr="003665A3">
              <w:rPr>
                <w:i/>
                <w:color w:val="000000"/>
                <w:sz w:val="22"/>
                <w:szCs w:val="22"/>
              </w:rPr>
              <w:t xml:space="preserve">r. </w:t>
            </w:r>
            <w:r w:rsidRPr="003665A3">
              <w:rPr>
                <w:color w:val="000000"/>
                <w:sz w:val="22"/>
                <w:szCs w:val="22"/>
              </w:rPr>
              <w:t xml:space="preserve">Toxin, </w:t>
            </w:r>
            <w:r w:rsidRPr="003665A3">
              <w:rPr>
                <w:color w:val="000000"/>
                <w:sz w:val="22"/>
                <w:szCs w:val="22"/>
              </w:rPr>
              <w:sym w:font="Symbol" w:char="F074"/>
            </w:r>
            <w:r w:rsidRPr="003665A3">
              <w:rPr>
                <w:color w:val="000000"/>
                <w:sz w:val="22"/>
                <w:szCs w:val="22"/>
              </w:rPr>
              <w:t xml:space="preserve">, is produced by each cell at rate </w:t>
            </w:r>
            <w:r w:rsidRPr="003665A3">
              <w:rPr>
                <w:i/>
                <w:color w:val="000000"/>
                <w:sz w:val="22"/>
                <w:szCs w:val="22"/>
              </w:rPr>
              <w:t>x</w:t>
            </w:r>
            <w:r w:rsidRPr="003665A3">
              <w:rPr>
                <w:color w:val="000000"/>
                <w:sz w:val="22"/>
                <w:szCs w:val="22"/>
              </w:rPr>
              <w:t xml:space="preserve"> and degrades at rate </w:t>
            </w:r>
            <w:r w:rsidRPr="003665A3">
              <w:rPr>
                <w:i/>
                <w:color w:val="000000"/>
                <w:sz w:val="22"/>
                <w:szCs w:val="22"/>
              </w:rPr>
              <w:t xml:space="preserve">l. </w:t>
            </w:r>
            <w:r w:rsidRPr="003665A3">
              <w:rPr>
                <w:color w:val="000000"/>
                <w:sz w:val="22"/>
                <w:szCs w:val="22"/>
              </w:rPr>
              <w:t xml:space="preserve">The analytical solution of E.1 provides the time dynamics of the toxin, </w:t>
            </w:r>
            <m:oMath>
              <m:sSub>
                <m:sSubPr>
                  <m:ctrlPr>
                    <w:rPr>
                      <w:rFonts w:ascii="Cambria Math" w:hAnsi="Cambria Math"/>
                      <w:i/>
                      <w:color w:val="000000"/>
                      <w:sz w:val="22"/>
                      <w:szCs w:val="22"/>
                    </w:rPr>
                  </m:ctrlPr>
                </m:sSubPr>
                <m:e>
                  <m:r>
                    <m:rPr>
                      <m:sty m:val="p"/>
                    </m:rPr>
                    <w:rPr>
                      <w:rFonts w:ascii="Cambria Math" w:hAnsi="Cambria Math"/>
                      <w:color w:val="000000"/>
                      <w:sz w:val="22"/>
                      <w:szCs w:val="22"/>
                    </w:rPr>
                    <w:sym w:font="Symbol" w:char="F074"/>
                  </m:r>
                </m:e>
                <m:sub>
                  <m:r>
                    <w:rPr>
                      <w:rFonts w:ascii="Cambria Math" w:hAnsi="Cambria Math"/>
                      <w:color w:val="000000"/>
                      <w:sz w:val="22"/>
                      <w:szCs w:val="22"/>
                    </w:rPr>
                    <m:t>t</m:t>
                  </m:r>
                </m:sub>
              </m:sSub>
              <m:r>
                <w:rPr>
                  <w:rFonts w:ascii="Cambria Math" w:hAnsi="Cambria Math"/>
                  <w:color w:val="000000"/>
                  <w:sz w:val="22"/>
                  <w:szCs w:val="22"/>
                </w:rPr>
                <m:t>=</m:t>
              </m:r>
              <m:sSub>
                <m:sSubPr>
                  <m:ctrlPr>
                    <w:rPr>
                      <w:rFonts w:ascii="Cambria Math" w:hAnsi="Cambria Math"/>
                      <w:i/>
                      <w:color w:val="000000"/>
                      <w:sz w:val="22"/>
                      <w:szCs w:val="22"/>
                    </w:rPr>
                  </m:ctrlPr>
                </m:sSubPr>
                <m:e>
                  <m:r>
                    <m:rPr>
                      <m:sty m:val="p"/>
                    </m:rPr>
                    <w:rPr>
                      <w:rFonts w:ascii="Cambria Math" w:hAnsi="Cambria Math"/>
                      <w:color w:val="000000"/>
                      <w:sz w:val="22"/>
                      <w:szCs w:val="22"/>
                    </w:rPr>
                    <w:sym w:font="Symbol" w:char="F074"/>
                  </m:r>
                </m:e>
                <m:sub>
                  <m:r>
                    <w:rPr>
                      <w:rFonts w:ascii="Cambria Math" w:hAnsi="Cambria Math"/>
                      <w:color w:val="000000"/>
                      <w:sz w:val="22"/>
                      <w:szCs w:val="22"/>
                    </w:rPr>
                    <m:t>0</m:t>
                  </m:r>
                </m:sub>
              </m:sSub>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-lt</m:t>
                  </m:r>
                </m:sup>
              </m:sSup>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l+r</m:t>
                  </m:r>
                </m:den>
              </m:f>
              <m:d>
                <m:dPr>
                  <m:begChr m:val="["/>
                  <m:endChr m:val="]"/>
                  <m:ctrlPr>
                    <w:rPr>
                      <w:rFonts w:ascii="Cambria Math" w:hAnsi="Cambria Math"/>
                      <w:i/>
                      <w:color w:val="000000"/>
                      <w:sz w:val="22"/>
                      <w:szCs w:val="22"/>
                    </w:rPr>
                  </m:ctrlPr>
                </m:dPr>
                <m:e>
                  <m:sSub>
                    <m:sSubPr>
                      <m:ctrlPr>
                        <w:rPr>
                          <w:rFonts w:ascii="Cambria Math" w:hAnsi="Cambria Math"/>
                          <w:i/>
                          <w:color w:val="000000"/>
                          <w:sz w:val="22"/>
                          <w:szCs w:val="22"/>
                        </w:rPr>
                      </m:ctrlPr>
                    </m:sSubPr>
                    <m:e>
                      <m:r>
                        <w:rPr>
                          <w:rFonts w:ascii="Cambria Math" w:hAnsi="Cambria Math"/>
                          <w:color w:val="000000"/>
                          <w:sz w:val="22"/>
                          <w:szCs w:val="22"/>
                        </w:rPr>
                        <m:t xml:space="preserve">x </m:t>
                      </m:r>
                      <m:r>
                        <m:rPr>
                          <m:sty m:val="p"/>
                        </m:rPr>
                        <w:rPr>
                          <w:rFonts w:ascii="Cambria Math" w:hAnsi="Cambria Math"/>
                          <w:color w:val="000000"/>
                          <w:sz w:val="22"/>
                          <w:szCs w:val="22"/>
                        </w:rPr>
                        <m:t>N</m:t>
                      </m:r>
                    </m:e>
                    <m:sub>
                      <m:r>
                        <w:rPr>
                          <w:rFonts w:ascii="Cambria Math" w:hAnsi="Cambria Math"/>
                          <w:color w:val="000000"/>
                          <w:sz w:val="22"/>
                          <w:szCs w:val="22"/>
                        </w:rPr>
                        <m:t>t</m:t>
                      </m:r>
                    </m:sub>
                  </m:sSub>
                  <m:r>
                    <w:rPr>
                      <w:rFonts w:ascii="Cambria Math" w:hAnsi="Cambria Math"/>
                      <w:color w:val="000000"/>
                      <w:sz w:val="22"/>
                      <w:szCs w:val="22"/>
                    </w:rPr>
                    <m:t>-x</m:t>
                  </m:r>
                  <m:sSub>
                    <m:sSubPr>
                      <m:ctrlPr>
                        <w:rPr>
                          <w:rFonts w:ascii="Cambria Math" w:hAnsi="Cambria Math"/>
                          <w:i/>
                          <w:color w:val="000000"/>
                          <w:sz w:val="22"/>
                          <w:szCs w:val="22"/>
                        </w:rPr>
                      </m:ctrlPr>
                    </m:sSubPr>
                    <m:e>
                      <m:r>
                        <m:rPr>
                          <m:sty m:val="p"/>
                        </m:rPr>
                        <w:rPr>
                          <w:rFonts w:ascii="Cambria Math" w:hAnsi="Cambria Math"/>
                          <w:color w:val="000000"/>
                          <w:sz w:val="22"/>
                          <w:szCs w:val="22"/>
                        </w:rPr>
                        <m:t xml:space="preserve"> N</m:t>
                      </m:r>
                    </m:e>
                    <m:sub>
                      <m:r>
                        <w:rPr>
                          <w:rFonts w:ascii="Cambria Math" w:hAnsi="Cambria Math"/>
                          <w:color w:val="000000"/>
                          <w:sz w:val="22"/>
                          <w:szCs w:val="22"/>
                        </w:rPr>
                        <m:t>0</m:t>
                      </m:r>
                    </m:sub>
                  </m:sSub>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-lt</m:t>
                      </m:r>
                    </m:sup>
                  </m:sSup>
                </m:e>
              </m:d>
            </m:oMath>
            <w:r w:rsidRPr="003665A3">
              <w:rPr>
                <w:rFonts w:eastAsiaTheme="minorEastAsia"/>
                <w:color w:val="000000"/>
                <w:sz w:val="22"/>
                <w:szCs w:val="22"/>
              </w:rPr>
              <w:t xml:space="preserve">, where </w:t>
            </w:r>
            <w:r w:rsidRPr="003665A3">
              <w:rPr>
                <w:i/>
                <w:color w:val="000000"/>
                <w:sz w:val="22"/>
                <w:szCs w:val="22"/>
              </w:rPr>
              <w:t>N</w:t>
            </w:r>
            <w:r w:rsidRPr="003665A3">
              <w:rPr>
                <w:color w:val="000000"/>
                <w:sz w:val="22"/>
                <w:szCs w:val="22"/>
                <w:vertAlign w:val="subscript"/>
              </w:rPr>
              <w:t xml:space="preserve">0 </w:t>
            </w:r>
            <w:r w:rsidRPr="003665A3">
              <w:rPr>
                <w:color w:val="000000"/>
                <w:sz w:val="22"/>
                <w:szCs w:val="22"/>
              </w:rPr>
              <w:t xml:space="preserve">and </w:t>
            </w:r>
            <w:r w:rsidRPr="003665A3">
              <w:rPr>
                <w:color w:val="000000"/>
                <w:sz w:val="22"/>
                <w:szCs w:val="22"/>
              </w:rPr>
              <w:sym w:font="Symbol" w:char="F074"/>
            </w:r>
            <w:r w:rsidRPr="003665A3">
              <w:rPr>
                <w:color w:val="000000"/>
                <w:sz w:val="22"/>
                <w:szCs w:val="22"/>
                <w:vertAlign w:val="subscript"/>
              </w:rPr>
              <w:t>0</w:t>
            </w:r>
            <w:r w:rsidRPr="003665A3">
              <w:rPr>
                <w:color w:val="000000"/>
                <w:sz w:val="22"/>
                <w:szCs w:val="22"/>
              </w:rPr>
              <w:t xml:space="preserve"> are the initial population size and toxin concentration. Solving for </w:t>
            </w:r>
            <w:r w:rsidRPr="003665A3">
              <w:rPr>
                <w:rFonts w:eastAsiaTheme="minorEastAsia"/>
                <w:i/>
                <w:color w:val="000000"/>
                <w:sz w:val="22"/>
                <w:szCs w:val="22"/>
              </w:rPr>
              <w:t>x</w:t>
            </w:r>
            <w:r w:rsidRPr="003665A3">
              <w:rPr>
                <w:rFonts w:eastAsiaTheme="minorEastAsia"/>
                <w:color w:val="000000"/>
                <w:sz w:val="22"/>
                <w:szCs w:val="22"/>
              </w:rPr>
              <w:t>, we get:</w:t>
            </w:r>
          </w:p>
          <w:p w14:paraId="57CC26F1" w14:textId="77777777" w:rsidR="00642DCF" w:rsidRPr="003665A3" w:rsidRDefault="00642DCF" w:rsidP="008846B8">
            <w:pPr>
              <w:spacing w:afterLines="60" w:after="144"/>
              <w:ind w:firstLine="720"/>
              <w:rPr>
                <w:rFonts w:eastAsiaTheme="minorEastAsia"/>
                <w:color w:val="000000"/>
                <w:sz w:val="22"/>
                <w:szCs w:val="22"/>
              </w:rPr>
            </w:pPr>
            <m:oMath>
              <m:r>
                <w:rPr>
                  <w:rFonts w:ascii="Cambria Math" w:hAnsi="Cambria Math"/>
                  <w:color w:val="000000"/>
                  <w:sz w:val="22"/>
                  <w:szCs w:val="22"/>
                </w:rPr>
                <m:t>x</m:t>
              </m:r>
              <m:r>
                <w:rPr>
                  <w:rFonts w:ascii="Cambria Math" w:eastAsiaTheme="minorEastAsia" w:hAnsi="Cambria Math"/>
                  <w:color w:val="000000"/>
                  <w:sz w:val="22"/>
                  <w:szCs w:val="22"/>
                </w:rPr>
                <m:t>=(l+r)</m:t>
              </m:r>
              <m:d>
                <m:dPr>
                  <m:ctrlPr>
                    <w:rPr>
                      <w:rFonts w:ascii="Cambria Math" w:eastAsiaTheme="minorEastAsia" w:hAnsi="Cambria Math"/>
                      <w:i/>
                      <w:color w:val="000000"/>
                      <w:sz w:val="22"/>
                      <w:szCs w:val="22"/>
                    </w:rPr>
                  </m:ctrlPr>
                </m:dPr>
                <m:e>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m:rPr>
                              <m:sty m:val="p"/>
                            </m:rPr>
                            <w:rPr>
                              <w:rFonts w:ascii="Cambria Math" w:hAnsi="Cambria Math"/>
                              <w:color w:val="000000"/>
                              <w:sz w:val="22"/>
                              <w:szCs w:val="22"/>
                            </w:rPr>
                            <w:sym w:font="Symbol" w:char="F074"/>
                          </m:r>
                        </m:e>
                        <m:sub>
                          <m:r>
                            <w:rPr>
                              <w:rFonts w:ascii="Cambria Math" w:hAnsi="Cambria Math"/>
                              <w:color w:val="000000"/>
                              <w:sz w:val="22"/>
                              <w:szCs w:val="22"/>
                            </w:rPr>
                            <m:t>t</m:t>
                          </m:r>
                        </m:sub>
                      </m:sSub>
                    </m:num>
                    <m:den>
                      <m:sSub>
                        <m:sSubPr>
                          <m:ctrlPr>
                            <w:rPr>
                              <w:rFonts w:ascii="Cambria Math" w:hAnsi="Cambria Math"/>
                              <w:i/>
                              <w:color w:val="000000"/>
                              <w:sz w:val="22"/>
                              <w:szCs w:val="22"/>
                            </w:rPr>
                          </m:ctrlPr>
                        </m:sSubPr>
                        <m:e>
                          <m:r>
                            <w:rPr>
                              <w:rFonts w:ascii="Cambria Math" w:hAnsi="Cambria Math"/>
                              <w:color w:val="000000"/>
                              <w:sz w:val="22"/>
                              <w:szCs w:val="22"/>
                            </w:rPr>
                            <m:t>N</m:t>
                          </m:r>
                        </m:e>
                        <m:sub>
                          <m:r>
                            <w:rPr>
                              <w:rFonts w:ascii="Cambria Math" w:hAnsi="Cambria Math"/>
                              <w:color w:val="000000"/>
                              <w:sz w:val="22"/>
                              <w:szCs w:val="22"/>
                            </w:rPr>
                            <m:t>t</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N</m:t>
                          </m:r>
                        </m:e>
                        <m:sub>
                          <m:r>
                            <w:rPr>
                              <w:rFonts w:ascii="Cambria Math" w:hAnsi="Cambria Math"/>
                              <w:color w:val="000000"/>
                              <w:sz w:val="22"/>
                              <w:szCs w:val="22"/>
                            </w:rPr>
                            <m:t>0</m:t>
                          </m:r>
                        </m:sub>
                      </m:sSub>
                      <m:r>
                        <w:rPr>
                          <w:rFonts w:ascii="Cambria Math" w:hAnsi="Cambria Math"/>
                          <w:color w:val="000000"/>
                          <w:sz w:val="22"/>
                          <w:szCs w:val="22"/>
                        </w:rPr>
                        <m:t>/</m:t>
                      </m:r>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l t</m:t>
                          </m:r>
                        </m:sup>
                      </m:sSup>
                    </m:den>
                  </m:f>
                  <m:r>
                    <w:rPr>
                      <w:rFonts w:ascii="Cambria Math" w:hAnsi="Cambria Math"/>
                      <w:color w:val="000000"/>
                      <w:sz w:val="22"/>
                      <w:szCs w:val="22"/>
                    </w:rPr>
                    <m:t>-</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m:rPr>
                              <m:sty m:val="p"/>
                            </m:rPr>
                            <w:rPr>
                              <w:rFonts w:ascii="Cambria Math" w:hAnsi="Cambria Math"/>
                              <w:color w:val="000000"/>
                              <w:sz w:val="22"/>
                              <w:szCs w:val="22"/>
                            </w:rPr>
                            <w:sym w:font="Symbol" w:char="F074"/>
                          </m:r>
                        </m:e>
                        <m:sub>
                          <m:r>
                            <w:rPr>
                              <w:rFonts w:ascii="Cambria Math" w:hAnsi="Cambria Math"/>
                              <w:color w:val="000000"/>
                              <w:sz w:val="22"/>
                              <w:szCs w:val="22"/>
                            </w:rPr>
                            <m:t>0</m:t>
                          </m:r>
                        </m:sub>
                      </m:sSub>
                    </m:num>
                    <m:den>
                      <m:sSub>
                        <m:sSubPr>
                          <m:ctrlPr>
                            <w:rPr>
                              <w:rFonts w:ascii="Cambria Math" w:hAnsi="Cambria Math"/>
                              <w:i/>
                              <w:color w:val="000000"/>
                              <w:sz w:val="22"/>
                              <w:szCs w:val="22"/>
                            </w:rPr>
                          </m:ctrlPr>
                        </m:sSubPr>
                        <m:e>
                          <m:sSub>
                            <m:sSubPr>
                              <m:ctrlPr>
                                <w:rPr>
                                  <w:rFonts w:ascii="Cambria Math" w:hAnsi="Cambria Math"/>
                                  <w:i/>
                                  <w:color w:val="000000"/>
                                  <w:sz w:val="22"/>
                                  <w:szCs w:val="22"/>
                                </w:rPr>
                              </m:ctrlPr>
                            </m:sSubPr>
                            <m:e>
                              <m:r>
                                <w:rPr>
                                  <w:rFonts w:ascii="Cambria Math" w:hAnsi="Cambria Math"/>
                                  <w:color w:val="000000"/>
                                  <w:sz w:val="22"/>
                                  <w:szCs w:val="22"/>
                                </w:rPr>
                                <m:t>N</m:t>
                              </m:r>
                            </m:e>
                            <m:sub>
                              <m:r>
                                <w:rPr>
                                  <w:rFonts w:ascii="Cambria Math" w:hAnsi="Cambria Math"/>
                                  <w:color w:val="000000"/>
                                  <w:sz w:val="22"/>
                                  <w:szCs w:val="22"/>
                                </w:rPr>
                                <m:t>t</m:t>
                              </m:r>
                            </m:sub>
                          </m:sSub>
                          <m:r>
                            <w:rPr>
                              <w:rFonts w:ascii="Cambria Math" w:hAnsi="Cambria Math"/>
                              <w:color w:val="000000"/>
                              <w:sz w:val="22"/>
                              <w:szCs w:val="22"/>
                            </w:rPr>
                            <m:t xml:space="preserve"> </m:t>
                          </m:r>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l t</m:t>
                              </m:r>
                            </m:sup>
                          </m:sSup>
                          <m:r>
                            <w:rPr>
                              <w:rFonts w:ascii="Cambria Math" w:hAnsi="Cambria Math"/>
                              <w:color w:val="000000"/>
                              <w:sz w:val="22"/>
                              <w:szCs w:val="22"/>
                            </w:rPr>
                            <m:t>- N</m:t>
                          </m:r>
                        </m:e>
                        <m:sub>
                          <m:r>
                            <w:rPr>
                              <w:rFonts w:ascii="Cambria Math" w:hAnsi="Cambria Math"/>
                              <w:color w:val="000000"/>
                              <w:sz w:val="22"/>
                              <w:szCs w:val="22"/>
                            </w:rPr>
                            <m:t>0</m:t>
                          </m:r>
                        </m:sub>
                      </m:sSub>
                    </m:den>
                  </m:f>
                </m:e>
              </m:d>
            </m:oMath>
            <w:r w:rsidRPr="003665A3">
              <w:rPr>
                <w:rFonts w:eastAsiaTheme="minorEastAsia"/>
                <w:color w:val="000000"/>
                <w:sz w:val="22"/>
                <w:szCs w:val="22"/>
              </w:rPr>
              <w:tab/>
            </w:r>
            <w:r w:rsidRPr="003665A3">
              <w:rPr>
                <w:rFonts w:eastAsiaTheme="minorEastAsia"/>
                <w:color w:val="000000"/>
                <w:sz w:val="22"/>
                <w:szCs w:val="22"/>
              </w:rPr>
              <w:tab/>
            </w:r>
            <w:r w:rsidRPr="003665A3">
              <w:rPr>
                <w:rFonts w:eastAsiaTheme="minorEastAsia"/>
                <w:color w:val="000000"/>
                <w:sz w:val="22"/>
                <w:szCs w:val="22"/>
              </w:rPr>
              <w:tab/>
            </w:r>
            <w:r w:rsidRPr="003665A3">
              <w:rPr>
                <w:rFonts w:eastAsiaTheme="minorEastAsia"/>
                <w:color w:val="000000"/>
                <w:sz w:val="22"/>
                <w:szCs w:val="22"/>
              </w:rPr>
              <w:tab/>
            </w:r>
            <w:r w:rsidRPr="003665A3">
              <w:rPr>
                <w:rFonts w:eastAsiaTheme="minorEastAsia"/>
                <w:color w:val="000000"/>
                <w:sz w:val="22"/>
                <w:szCs w:val="22"/>
              </w:rPr>
              <w:tab/>
            </w:r>
            <w:r w:rsidRPr="003665A3">
              <w:rPr>
                <w:rFonts w:eastAsiaTheme="minorEastAsia"/>
                <w:color w:val="000000"/>
                <w:sz w:val="22"/>
                <w:szCs w:val="22"/>
              </w:rPr>
              <w:tab/>
            </w:r>
            <w:r w:rsidRPr="003665A3">
              <w:rPr>
                <w:rFonts w:eastAsiaTheme="minorEastAsia"/>
                <w:color w:val="000000"/>
                <w:sz w:val="22"/>
                <w:szCs w:val="22"/>
              </w:rPr>
              <w:tab/>
              <w:t>[E.2]</w:t>
            </w:r>
          </w:p>
          <w:p w14:paraId="6197A09C" w14:textId="754C44E5" w:rsidR="00466CD5" w:rsidRPr="003665A3" w:rsidRDefault="00642DCF" w:rsidP="00F237D0">
            <w:pPr>
              <w:spacing w:after="120"/>
            </w:pPr>
            <w:r w:rsidRPr="003665A3">
              <w:rPr>
                <w:rFonts w:eastAsiaTheme="minorEastAsia"/>
                <w:color w:val="000000"/>
                <w:sz w:val="22"/>
                <w:szCs w:val="22"/>
              </w:rPr>
              <w:t xml:space="preserve">Importantly, the above expression demonstrates per capita toxin production </w:t>
            </w:r>
            <w:r w:rsidRPr="003665A3">
              <w:rPr>
                <w:rFonts w:eastAsiaTheme="minorEastAsia"/>
                <w:i/>
                <w:color w:val="000000"/>
                <w:sz w:val="22"/>
                <w:szCs w:val="22"/>
              </w:rPr>
              <w:t xml:space="preserve">x </w:t>
            </w:r>
            <w:r w:rsidRPr="003665A3">
              <w:rPr>
                <w:rFonts w:eastAsiaTheme="minorEastAsia"/>
                <w:color w:val="000000"/>
                <w:sz w:val="22"/>
                <w:szCs w:val="22"/>
              </w:rPr>
              <w:t>is not simply equivalent to the total MC content divided by the final cell density (</w:t>
            </w:r>
            <m:oMath>
              <m:sSub>
                <m:sSubPr>
                  <m:ctrlPr>
                    <w:rPr>
                      <w:rFonts w:ascii="Cambria Math" w:hAnsi="Cambria Math"/>
                      <w:i/>
                      <w:color w:val="000000"/>
                      <w:sz w:val="22"/>
                      <w:szCs w:val="22"/>
                    </w:rPr>
                  </m:ctrlPr>
                </m:sSubPr>
                <m:e>
                  <m:r>
                    <m:rPr>
                      <m:sty m:val="p"/>
                    </m:rPr>
                    <w:rPr>
                      <w:rFonts w:ascii="Cambria Math" w:hAnsi="Cambria Math"/>
                      <w:color w:val="000000"/>
                      <w:sz w:val="22"/>
                      <w:szCs w:val="22"/>
                    </w:rPr>
                    <w:sym w:font="Symbol" w:char="F074"/>
                  </m:r>
                </m:e>
                <m:sub>
                  <m:r>
                    <w:rPr>
                      <w:rFonts w:ascii="Cambria Math" w:hAnsi="Cambria Math"/>
                      <w:color w:val="000000"/>
                      <w:sz w:val="22"/>
                      <w:szCs w:val="22"/>
                    </w:rPr>
                    <m:t>t</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N</m:t>
                  </m:r>
                </m:e>
                <m:sub>
                  <m:r>
                    <w:rPr>
                      <w:rFonts w:ascii="Cambria Math" w:hAnsi="Cambria Math"/>
                      <w:color w:val="000000"/>
                      <w:sz w:val="22"/>
                      <w:szCs w:val="22"/>
                    </w:rPr>
                    <m:t>t</m:t>
                  </m:r>
                </m:sub>
              </m:sSub>
            </m:oMath>
            <w:r w:rsidRPr="003665A3">
              <w:rPr>
                <w:rFonts w:eastAsiaTheme="minorEastAsia"/>
                <w:color w:val="000000"/>
                <w:sz w:val="22"/>
                <w:szCs w:val="22"/>
              </w:rPr>
              <w:t xml:space="preserve">). However, knowing </w:t>
            </w:r>
            <w:r w:rsidRPr="003665A3">
              <w:rPr>
                <w:rFonts w:eastAsiaTheme="minorEastAsia"/>
                <w:i/>
                <w:color w:val="000000"/>
                <w:sz w:val="22"/>
                <w:szCs w:val="22"/>
              </w:rPr>
              <w:t>r</w:t>
            </w:r>
            <w:r w:rsidRPr="003665A3">
              <w:rPr>
                <w:rFonts w:eastAsiaTheme="minorEastAsia"/>
                <w:color w:val="000000"/>
                <w:sz w:val="22"/>
                <w:szCs w:val="22"/>
              </w:rPr>
              <w:t>, we can assume a negligible initial MC concentration (</w:t>
            </w:r>
            <m:oMath>
              <m:sSub>
                <m:sSubPr>
                  <m:ctrlPr>
                    <w:rPr>
                      <w:rFonts w:ascii="Cambria Math" w:hAnsi="Cambria Math"/>
                      <w:i/>
                      <w:color w:val="000000"/>
                      <w:sz w:val="22"/>
                      <w:szCs w:val="22"/>
                    </w:rPr>
                  </m:ctrlPr>
                </m:sSubPr>
                <m:e>
                  <m:r>
                    <m:rPr>
                      <m:sty m:val="p"/>
                    </m:rPr>
                    <w:rPr>
                      <w:rFonts w:ascii="Cambria Math" w:hAnsi="Cambria Math"/>
                      <w:color w:val="000000"/>
                      <w:sz w:val="22"/>
                      <w:szCs w:val="22"/>
                    </w:rPr>
                    <w:sym w:font="Symbol" w:char="F074"/>
                  </m:r>
                </m:e>
                <m:sub>
                  <m:r>
                    <w:rPr>
                      <w:rFonts w:ascii="Cambria Math" w:hAnsi="Cambria Math"/>
                      <w:color w:val="000000"/>
                      <w:sz w:val="22"/>
                      <w:szCs w:val="22"/>
                    </w:rPr>
                    <m:t>0</m:t>
                  </m:r>
                </m:sub>
              </m:sSub>
              <m:r>
                <w:rPr>
                  <w:rFonts w:ascii="Cambria Math" w:hAnsi="Cambria Math"/>
                  <w:color w:val="000000"/>
                  <w:sz w:val="22"/>
                  <w:szCs w:val="22"/>
                </w:rPr>
                <m:t>≈0</m:t>
              </m:r>
            </m:oMath>
            <w:r w:rsidRPr="003665A3">
              <w:rPr>
                <w:rFonts w:eastAsiaTheme="minorEastAsia"/>
                <w:color w:val="000000"/>
                <w:sz w:val="22"/>
                <w:szCs w:val="22"/>
              </w:rPr>
              <w:t xml:space="preserve">) and a loss rate of </w:t>
            </w:r>
            <w:r w:rsidRPr="003665A3">
              <w:rPr>
                <w:rFonts w:eastAsiaTheme="minorEastAsia"/>
                <w:i/>
                <w:color w:val="000000"/>
                <w:sz w:val="22"/>
                <w:szCs w:val="22"/>
              </w:rPr>
              <w:t xml:space="preserve">l </w:t>
            </w:r>
            <w:r w:rsidRPr="003665A3">
              <w:rPr>
                <w:rFonts w:eastAsiaTheme="minorEastAsia"/>
                <w:color w:val="000000"/>
                <w:sz w:val="22"/>
                <w:szCs w:val="22"/>
              </w:rPr>
              <w:t xml:space="preserve">= 0.09/day (given a half-life of 7 days reported by </w:t>
            </w:r>
            <w:r w:rsidRPr="003665A3">
              <w:rPr>
                <w:rFonts w:eastAsiaTheme="minorEastAsia"/>
                <w:color w:val="000000"/>
                <w:sz w:val="22"/>
                <w:szCs w:val="22"/>
              </w:rPr>
              <w:fldChar w:fldCharType="begin"/>
            </w:r>
            <w:r w:rsidRPr="003665A3">
              <w:rPr>
                <w:rFonts w:eastAsiaTheme="minorEastAsia"/>
                <w:color w:val="000000"/>
                <w:sz w:val="22"/>
                <w:szCs w:val="22"/>
              </w:rPr>
              <w:instrText xml:space="preserve"> ADDIN ZOTERO_ITEM CSL_CITATION {"citationID":"tfCgCw1d","properties":{"formattedCitation":"(Zastepa et al. 2014)","plainCitation":"(Zastepa et al. 2014)","dontUpdate":true,"noteIndex":0},"citationItems":[{"id":392,"uris":["http://zotero.org/groups/2333201/items/6TLG3MW5"],"uri":["http://zotero.org/groups/2333201/items/6TLG3MW5"],"itemData":{"id":392,"type":"article-journal","abstract":"Few studies have estimated fate and persistence of the hepatotoxic microcystins (MCs) in situ, making ecological and human health risk assessments challenging. We determined fate and persistence of MC congeners during 2 years of Microcystis blooms in a small, shallow, closed-basin lake in Ontario, Canada. In situ half-lives were compared to estimates obtained in vitro under controlled temperature and light. The blooms produced elevated microcystin-LA (MC-LA) (maximum </w:instrText>
            </w:r>
            <w:r w:rsidRPr="003665A3">
              <w:rPr>
                <w:rFonts w:ascii="Cambria Math" w:eastAsiaTheme="minorEastAsia" w:hAnsi="Cambria Math" w:cs="Cambria Math"/>
                <w:color w:val="000000"/>
                <w:sz w:val="22"/>
                <w:szCs w:val="22"/>
              </w:rPr>
              <w:instrText>∼</w:instrText>
            </w:r>
            <w:r w:rsidRPr="003665A3">
              <w:rPr>
                <w:rFonts w:eastAsiaTheme="minorEastAsia"/>
                <w:color w:val="000000"/>
                <w:sz w:val="22"/>
                <w:szCs w:val="22"/>
              </w:rPr>
              <w:instrText xml:space="preserve">4.2 mg L−1) with minor concentrations of MC-LR, -RR, and -YR. Dissolved MC-LA declined more slowly and persisted longer than particulate MC-LA with in situ half-lives (total 1.5–8.5 days) shorter than in vitro (total 6.8–60.0 days). Half-lives in 2010 were two to eight times shorter compared to 2009, likely due to differences in bloom phenology and species/strain composition. In vitro, higher temperature (4◦C → 25◦C in dark), and irradiance (dark → 45 → 260 μE m−2s−1 at 25◦C) accelerated particulate and dissolved MC-LA decline, respectively. MC-RR accumulated in surface sediments while MC-LA was near detection despite elevated surface water concentrations. MC-LA appears to persist longer in surface waters than the equally toxic MC-LR, requiring almost the entire recreational season (9.5 weeks) to reach guideline concentrations (20 μg L−1).","container-title":"Human and Ecological Risk Assessment: An International Journal","DOI":"10.1080/10807039.2013.854138","ISSN":"1080-7039, 1549-7860","issue":"6","journalAbbreviation":"Human and Ecological Risk Assessment: An International Journal","language":"en","page":"1670-1686","source":"DOI.org (Crossref)","title":"Fate and Persistence of Particulate and Dissolved Microcystin-LA from &lt;i&gt;Microcystis&lt;/i&gt; Blooms","volume":"20","author":[{"family":"Zastepa","given":"A."},{"family":"Pick","given":"F. R."},{"family":"Blais","given":"J. M."}],"issued":{"date-parts":[["2014",11,2]]}}}],"schema":"https://github.com/citation-style-language/schema/raw/master/csl-citation.json"} </w:instrText>
            </w:r>
            <w:r w:rsidRPr="003665A3">
              <w:rPr>
                <w:rFonts w:eastAsiaTheme="minorEastAsia"/>
                <w:color w:val="000000"/>
                <w:sz w:val="22"/>
                <w:szCs w:val="22"/>
              </w:rPr>
              <w:fldChar w:fldCharType="separate"/>
            </w:r>
            <w:r w:rsidRPr="003665A3">
              <w:rPr>
                <w:rFonts w:eastAsiaTheme="minorEastAsia"/>
                <w:noProof/>
                <w:color w:val="000000"/>
                <w:sz w:val="22"/>
                <w:szCs w:val="22"/>
              </w:rPr>
              <w:t>Zastepa et al. 2014</w:t>
            </w:r>
            <w:r w:rsidRPr="003665A3">
              <w:rPr>
                <w:rFonts w:eastAsiaTheme="minorEastAsia"/>
                <w:color w:val="000000"/>
                <w:sz w:val="22"/>
                <w:szCs w:val="22"/>
              </w:rPr>
              <w:fldChar w:fldCharType="end"/>
            </w:r>
            <w:r w:rsidR="00784285" w:rsidRPr="003665A3">
              <w:rPr>
                <w:rFonts w:eastAsiaTheme="minorEastAsia"/>
                <w:color w:val="000000"/>
                <w:sz w:val="22"/>
                <w:szCs w:val="22"/>
              </w:rPr>
              <w:t xml:space="preserve">, </w:t>
            </w:r>
            <w:r w:rsidR="0031329F" w:rsidRPr="003665A3">
              <w:rPr>
                <w:color w:val="000000" w:themeColor="text1"/>
                <w:sz w:val="22"/>
                <w:szCs w:val="22"/>
                <w:shd w:val="clear" w:color="auto" w:fill="FFFFFF"/>
              </w:rPr>
              <w:t>DOI:</w:t>
            </w:r>
            <w:r w:rsidR="00784285" w:rsidRPr="003665A3">
              <w:rPr>
                <w:color w:val="000000" w:themeColor="text1"/>
                <w:sz w:val="22"/>
                <w:szCs w:val="22"/>
                <w:shd w:val="clear" w:color="auto" w:fill="FFFFFF"/>
              </w:rPr>
              <w:t>10.1080/10807039.2013.854138</w:t>
            </w:r>
            <w:r w:rsidRPr="003665A3">
              <w:rPr>
                <w:rFonts w:eastAsiaTheme="minorEastAsia"/>
                <w:color w:val="000000"/>
                <w:sz w:val="22"/>
                <w:szCs w:val="22"/>
              </w:rPr>
              <w:t xml:space="preserve">) to estimate </w:t>
            </w:r>
            <w:r w:rsidRPr="003665A3">
              <w:rPr>
                <w:rFonts w:eastAsiaTheme="minorEastAsia"/>
                <w:i/>
                <w:color w:val="000000"/>
                <w:sz w:val="22"/>
                <w:szCs w:val="22"/>
              </w:rPr>
              <w:t xml:space="preserve">x </w:t>
            </w:r>
            <w:r w:rsidRPr="003665A3">
              <w:rPr>
                <w:rFonts w:eastAsiaTheme="minorEastAsia"/>
                <w:color w:val="000000"/>
                <w:sz w:val="22"/>
                <w:szCs w:val="22"/>
              </w:rPr>
              <w:t xml:space="preserve">using E.2. </w:t>
            </w:r>
          </w:p>
          <w:p w14:paraId="5DCE9B4B" w14:textId="71557357" w:rsidR="008D563A" w:rsidRPr="003665A3" w:rsidRDefault="00642DCF" w:rsidP="008846B8">
            <w:pPr>
              <w:spacing w:afterLines="60" w:after="144"/>
              <w:rPr>
                <w:sz w:val="22"/>
                <w:szCs w:val="22"/>
              </w:rPr>
            </w:pPr>
            <w:r w:rsidRPr="003665A3">
              <w:rPr>
                <w:sz w:val="22"/>
                <w:szCs w:val="22"/>
              </w:rPr>
              <w:t>Having quantified growth rate, total MC, and MC production per cell, we used two-way ANOVAs to determine whether variation in these quantities was explained by acclimation history, nutrient condition, or their interaction. These analyses revealed a dramatic effect of nutrient condition; nutrient-limited treatments also displayed substantially less variation. Consequently, to assess pairwise differences between groups due to acclimation history, we performed post hoc Tukey tests on the results of two separate one-way ANOVAs (one for each nutrient condition) per response variable</w:t>
            </w:r>
            <w:r w:rsidR="00417561" w:rsidRPr="003665A3">
              <w:rPr>
                <w:sz w:val="22"/>
                <w:szCs w:val="22"/>
              </w:rPr>
              <w:t>.</w:t>
            </w:r>
          </w:p>
        </w:tc>
      </w:tr>
      <w:tr w:rsidR="00FC53DF" w:rsidRPr="003665A3" w14:paraId="0C954C27" w14:textId="77777777" w:rsidTr="00FC53DF">
        <w:tc>
          <w:tcPr>
            <w:tcW w:w="2988" w:type="dxa"/>
          </w:tcPr>
          <w:p w14:paraId="5F6D5749" w14:textId="77777777" w:rsidR="00FC53DF" w:rsidRPr="003665A3" w:rsidRDefault="00FC53DF" w:rsidP="008846B8">
            <w:pPr>
              <w:pStyle w:val="NormalWeb"/>
              <w:spacing w:afterLines="60" w:after="144" w:afterAutospacing="0"/>
              <w:contextualSpacing/>
              <w:rPr>
                <w:b/>
              </w:rPr>
            </w:pPr>
            <w:r w:rsidRPr="003665A3">
              <w:rPr>
                <w:b/>
              </w:rPr>
              <w:lastRenderedPageBreak/>
              <w:t>Taxonomic species or groups</w:t>
            </w:r>
          </w:p>
        </w:tc>
        <w:tc>
          <w:tcPr>
            <w:tcW w:w="7020" w:type="dxa"/>
          </w:tcPr>
          <w:p w14:paraId="00BA77DF" w14:textId="7F7B5C0C" w:rsidR="00FC53DF" w:rsidRPr="003665A3" w:rsidRDefault="008C40C0" w:rsidP="008846B8">
            <w:pPr>
              <w:pStyle w:val="NormalWeb"/>
              <w:spacing w:afterLines="60" w:after="144" w:afterAutospacing="0"/>
              <w:contextualSpacing/>
              <w:rPr>
                <w:sz w:val="22"/>
                <w:szCs w:val="22"/>
              </w:rPr>
            </w:pPr>
            <w:r w:rsidRPr="003665A3">
              <w:rPr>
                <w:sz w:val="22"/>
                <w:szCs w:val="22"/>
              </w:rPr>
              <w:t>Cyanobacteria</w:t>
            </w:r>
            <w:r w:rsidRPr="003665A3">
              <w:rPr>
                <w:i/>
                <w:sz w:val="22"/>
                <w:szCs w:val="22"/>
              </w:rPr>
              <w:t xml:space="preserve">, including Anabaena </w:t>
            </w:r>
            <w:r w:rsidRPr="003665A3">
              <w:rPr>
                <w:sz w:val="22"/>
                <w:szCs w:val="22"/>
              </w:rPr>
              <w:t>(</w:t>
            </w:r>
            <w:r w:rsidRPr="003665A3">
              <w:rPr>
                <w:i/>
                <w:sz w:val="22"/>
                <w:szCs w:val="22"/>
              </w:rPr>
              <w:t>Dolichospermum</w:t>
            </w:r>
            <w:r w:rsidRPr="003665A3">
              <w:rPr>
                <w:sz w:val="22"/>
                <w:szCs w:val="22"/>
              </w:rPr>
              <w:t>)</w:t>
            </w:r>
            <w:r w:rsidRPr="003665A3">
              <w:rPr>
                <w:i/>
                <w:sz w:val="22"/>
                <w:szCs w:val="22"/>
              </w:rPr>
              <w:t xml:space="preserve"> flos-aquae</w:t>
            </w:r>
            <w:r w:rsidRPr="003665A3">
              <w:rPr>
                <w:sz w:val="22"/>
                <w:szCs w:val="22"/>
              </w:rPr>
              <w:t xml:space="preserve">, </w:t>
            </w:r>
            <w:r w:rsidRPr="003665A3">
              <w:rPr>
                <w:i/>
                <w:sz w:val="22"/>
                <w:szCs w:val="22"/>
              </w:rPr>
              <w:t>Phormidium foveolarum</w:t>
            </w:r>
            <w:r w:rsidRPr="003665A3">
              <w:rPr>
                <w:sz w:val="22"/>
                <w:szCs w:val="22"/>
              </w:rPr>
              <w:t xml:space="preserve">, and two strains of </w:t>
            </w:r>
            <w:r w:rsidRPr="003665A3">
              <w:rPr>
                <w:i/>
                <w:sz w:val="22"/>
                <w:szCs w:val="22"/>
              </w:rPr>
              <w:t>Microcystis aeruginosa</w:t>
            </w:r>
            <w:r w:rsidR="00D3601A" w:rsidRPr="003665A3">
              <w:rPr>
                <w:i/>
                <w:sz w:val="22"/>
                <w:szCs w:val="22"/>
              </w:rPr>
              <w:t xml:space="preserve"> (</w:t>
            </w:r>
            <w:r w:rsidR="00D3601A" w:rsidRPr="003665A3">
              <w:rPr>
                <w:sz w:val="22"/>
                <w:szCs w:val="22"/>
              </w:rPr>
              <w:t>toxic and non-toxic)</w:t>
            </w:r>
          </w:p>
        </w:tc>
      </w:tr>
      <w:tr w:rsidR="008D563A" w:rsidRPr="003665A3" w14:paraId="17B21B23" w14:textId="77777777" w:rsidTr="00FC53DF">
        <w:tc>
          <w:tcPr>
            <w:tcW w:w="2988" w:type="dxa"/>
          </w:tcPr>
          <w:p w14:paraId="5697391A" w14:textId="77777777" w:rsidR="008D563A" w:rsidRPr="003665A3" w:rsidRDefault="008D563A" w:rsidP="008846B8">
            <w:pPr>
              <w:spacing w:afterLines="60" w:after="144"/>
              <w:contextualSpacing/>
              <w:rPr>
                <w:b/>
              </w:rPr>
            </w:pPr>
            <w:r w:rsidRPr="003665A3">
              <w:rPr>
                <w:b/>
              </w:rPr>
              <w:t>Quality control</w:t>
            </w:r>
          </w:p>
        </w:tc>
        <w:tc>
          <w:tcPr>
            <w:tcW w:w="7020" w:type="dxa"/>
          </w:tcPr>
          <w:p w14:paraId="027683FC" w14:textId="1F119CBD" w:rsidR="008D563A" w:rsidRPr="003665A3" w:rsidRDefault="00A01B76" w:rsidP="008846B8">
            <w:pPr>
              <w:spacing w:afterLines="60" w:after="144"/>
              <w:contextualSpacing/>
              <w:rPr>
                <w:sz w:val="22"/>
                <w:szCs w:val="22"/>
              </w:rPr>
            </w:pPr>
            <w:r w:rsidRPr="003665A3">
              <w:rPr>
                <w:sz w:val="22"/>
                <w:szCs w:val="22"/>
              </w:rPr>
              <w:t>Each dataset was appropriately scanned and visualized using R to check for inconsistencies, outliers, and potential errors.</w:t>
            </w:r>
          </w:p>
        </w:tc>
      </w:tr>
      <w:tr w:rsidR="008D563A" w:rsidRPr="003665A3" w14:paraId="032B7D81" w14:textId="77777777" w:rsidTr="00FC53DF">
        <w:tc>
          <w:tcPr>
            <w:tcW w:w="2988" w:type="dxa"/>
          </w:tcPr>
          <w:p w14:paraId="26C7D739" w14:textId="77777777" w:rsidR="008D563A" w:rsidRPr="003665A3" w:rsidRDefault="008D563A" w:rsidP="008846B8">
            <w:pPr>
              <w:spacing w:afterLines="60" w:after="144"/>
              <w:contextualSpacing/>
            </w:pPr>
            <w:r w:rsidRPr="003665A3">
              <w:rPr>
                <w:b/>
              </w:rPr>
              <w:t>Additional information</w:t>
            </w:r>
          </w:p>
        </w:tc>
        <w:tc>
          <w:tcPr>
            <w:tcW w:w="7020" w:type="dxa"/>
          </w:tcPr>
          <w:p w14:paraId="5B987774" w14:textId="7191DE86" w:rsidR="008D563A" w:rsidRPr="003665A3" w:rsidRDefault="008C40C0" w:rsidP="008846B8">
            <w:pPr>
              <w:spacing w:afterLines="60" w:after="144"/>
              <w:contextualSpacing/>
              <w:rPr>
                <w:sz w:val="22"/>
                <w:szCs w:val="22"/>
              </w:rPr>
            </w:pPr>
            <w:r w:rsidRPr="003665A3">
              <w:rPr>
                <w:sz w:val="22"/>
                <w:szCs w:val="22"/>
              </w:rPr>
              <w:t>NA</w:t>
            </w:r>
          </w:p>
        </w:tc>
      </w:tr>
    </w:tbl>
    <w:p w14:paraId="5CAB1804" w14:textId="77777777" w:rsidR="00CA274F" w:rsidRPr="003665A3" w:rsidRDefault="00CA274F" w:rsidP="008846B8">
      <w:pPr>
        <w:spacing w:afterLines="60" w:after="144"/>
        <w:rPr>
          <w:b/>
          <w:color w:val="4F81BD" w:themeColor="accent1"/>
          <w:sz w:val="28"/>
        </w:rPr>
      </w:pPr>
    </w:p>
    <w:p w14:paraId="2AC528AC" w14:textId="2E7A9D41" w:rsidR="00D07006" w:rsidRPr="003665A3" w:rsidRDefault="00E030C6" w:rsidP="008846B8">
      <w:pPr>
        <w:spacing w:afterLines="60" w:after="144"/>
      </w:pPr>
      <w:r w:rsidRPr="003665A3">
        <w:rPr>
          <w:b/>
          <w:color w:val="4F81BD" w:themeColor="accent1"/>
          <w:sz w:val="28"/>
        </w:rPr>
        <w:t>Table 2.</w:t>
      </w:r>
      <w:r w:rsidRPr="003665A3">
        <w:rPr>
          <w:sz w:val="28"/>
        </w:rPr>
        <w:t xml:space="preserve"> </w:t>
      </w:r>
      <w:r w:rsidR="00702E9A" w:rsidRPr="003665A3">
        <w:rPr>
          <w:color w:val="4F81BD" w:themeColor="accent1"/>
          <w:sz w:val="28"/>
        </w:rPr>
        <w:t>Data dictionary: d</w:t>
      </w:r>
      <w:r w:rsidRPr="003665A3">
        <w:rPr>
          <w:color w:val="4F81BD" w:themeColor="accent1"/>
          <w:sz w:val="28"/>
        </w:rPr>
        <w:t xml:space="preserve">escription of the </w:t>
      </w:r>
      <w:r w:rsidR="00F64512" w:rsidRPr="003665A3">
        <w:rPr>
          <w:color w:val="4F81BD" w:themeColor="accent1"/>
          <w:sz w:val="28"/>
        </w:rPr>
        <w:t xml:space="preserve">variables in </w:t>
      </w:r>
      <w:r w:rsidR="00BC2C5A" w:rsidRPr="003665A3">
        <w:rPr>
          <w:color w:val="4F81BD" w:themeColor="accent1"/>
          <w:sz w:val="28"/>
        </w:rPr>
        <w:t>each</w:t>
      </w:r>
      <w:r w:rsidR="00F64512" w:rsidRPr="003665A3">
        <w:rPr>
          <w:color w:val="4F81BD" w:themeColor="accent1"/>
          <w:sz w:val="28"/>
        </w:rPr>
        <w:t xml:space="preserve"> dataset</w:t>
      </w:r>
      <w:r w:rsidR="001033D4" w:rsidRPr="003665A3">
        <w:rPr>
          <w:color w:val="4F81BD" w:themeColor="accent1"/>
          <w:sz w:val="28"/>
        </w:rPr>
        <w:t>.</w:t>
      </w:r>
      <w:r w:rsidR="00F64512" w:rsidRPr="003665A3">
        <w:rPr>
          <w:sz w:val="28"/>
        </w:rPr>
        <w:t xml:space="preserve"> </w:t>
      </w:r>
    </w:p>
    <w:p w14:paraId="68B61271" w14:textId="54C3120F" w:rsidR="008A5C3C" w:rsidRPr="003665A3" w:rsidRDefault="008A5C3C" w:rsidP="008846B8">
      <w:pPr>
        <w:spacing w:afterLines="60" w:after="144"/>
        <w:rPr>
          <w:i/>
        </w:rPr>
      </w:pPr>
      <w:r w:rsidRPr="003665A3">
        <w:t xml:space="preserve">Dataset filename: </w:t>
      </w:r>
      <w:r w:rsidR="00340DCB" w:rsidRPr="003665A3">
        <w:rPr>
          <w:i/>
        </w:rPr>
        <w:t>Cyano_growth_data.csv</w:t>
      </w:r>
    </w:p>
    <w:p w14:paraId="2BEE6F97" w14:textId="3BCFF275" w:rsidR="001033D4" w:rsidRPr="003665A3" w:rsidRDefault="001033D4" w:rsidP="008846B8">
      <w:pPr>
        <w:spacing w:afterLines="60" w:after="144"/>
        <w:rPr>
          <w:i/>
        </w:rPr>
      </w:pPr>
      <w:r w:rsidRPr="003665A3">
        <w:t xml:space="preserve">Dataset description: </w:t>
      </w:r>
      <w:r w:rsidR="003119E4" w:rsidRPr="003665A3">
        <w:rPr>
          <w:i/>
        </w:rPr>
        <w:t>Measurements of growth (1/day) for four cyanobacteria strains across a thermal gradient</w:t>
      </w:r>
    </w:p>
    <w:tbl>
      <w:tblPr>
        <w:tblStyle w:val="TableGrid"/>
        <w:tblW w:w="9198" w:type="dxa"/>
        <w:tblInd w:w="378" w:type="dxa"/>
        <w:tblLook w:val="04A0" w:firstRow="1" w:lastRow="0" w:firstColumn="1" w:lastColumn="0" w:noHBand="0" w:noVBand="1"/>
      </w:tblPr>
      <w:tblGrid>
        <w:gridCol w:w="2089"/>
        <w:gridCol w:w="2727"/>
        <w:gridCol w:w="1272"/>
        <w:gridCol w:w="1646"/>
        <w:gridCol w:w="1027"/>
        <w:gridCol w:w="1017"/>
      </w:tblGrid>
      <w:tr w:rsidR="00E865A5" w:rsidRPr="003665A3" w14:paraId="4287EB87" w14:textId="77777777" w:rsidTr="001033D4">
        <w:trPr>
          <w:trHeight w:val="315"/>
        </w:trPr>
        <w:tc>
          <w:tcPr>
            <w:tcW w:w="2089" w:type="dxa"/>
            <w:noWrap/>
            <w:hideMark/>
          </w:tcPr>
          <w:p w14:paraId="753BB4F7" w14:textId="77777777" w:rsidR="001033D4" w:rsidRPr="003665A3" w:rsidRDefault="001033D4" w:rsidP="008846B8">
            <w:pPr>
              <w:spacing w:afterLines="60" w:after="144"/>
              <w:rPr>
                <w:b/>
                <w:bCs/>
              </w:rPr>
            </w:pPr>
            <w:r w:rsidRPr="003665A3">
              <w:rPr>
                <w:b/>
                <w:bCs/>
              </w:rPr>
              <w:lastRenderedPageBreak/>
              <w:t>Column name</w:t>
            </w:r>
          </w:p>
        </w:tc>
        <w:tc>
          <w:tcPr>
            <w:tcW w:w="1506" w:type="dxa"/>
            <w:hideMark/>
          </w:tcPr>
          <w:p w14:paraId="0E9A6204" w14:textId="77777777" w:rsidR="001033D4" w:rsidRPr="003665A3" w:rsidRDefault="001033D4" w:rsidP="008846B8">
            <w:pPr>
              <w:spacing w:afterLines="60" w:after="144"/>
              <w:rPr>
                <w:b/>
                <w:bCs/>
              </w:rPr>
            </w:pPr>
            <w:r w:rsidRPr="003665A3">
              <w:rPr>
                <w:b/>
                <w:bCs/>
              </w:rPr>
              <w:t>Description</w:t>
            </w:r>
          </w:p>
        </w:tc>
        <w:tc>
          <w:tcPr>
            <w:tcW w:w="1214" w:type="dxa"/>
          </w:tcPr>
          <w:p w14:paraId="53AEF7B6" w14:textId="77777777" w:rsidR="001033D4" w:rsidRPr="003665A3" w:rsidRDefault="001033D4" w:rsidP="008846B8">
            <w:pPr>
              <w:spacing w:afterLines="60" w:after="144"/>
              <w:rPr>
                <w:b/>
                <w:bCs/>
              </w:rPr>
            </w:pPr>
            <w:r w:rsidRPr="003665A3">
              <w:rPr>
                <w:b/>
                <w:bCs/>
              </w:rPr>
              <w:t>Units</w:t>
            </w:r>
          </w:p>
        </w:tc>
        <w:tc>
          <w:tcPr>
            <w:tcW w:w="1969" w:type="dxa"/>
          </w:tcPr>
          <w:p w14:paraId="7A61ED29" w14:textId="77777777" w:rsidR="001033D4" w:rsidRPr="003665A3" w:rsidRDefault="001033D4" w:rsidP="008846B8">
            <w:pPr>
              <w:spacing w:afterLines="60" w:after="144"/>
              <w:rPr>
                <w:b/>
                <w:bCs/>
              </w:rPr>
            </w:pPr>
            <w:r w:rsidRPr="003665A3">
              <w:rPr>
                <w:b/>
                <w:bCs/>
              </w:rPr>
              <w:t>Code explanation</w:t>
            </w:r>
          </w:p>
        </w:tc>
        <w:tc>
          <w:tcPr>
            <w:tcW w:w="1210" w:type="dxa"/>
          </w:tcPr>
          <w:p w14:paraId="19D43B41" w14:textId="77777777" w:rsidR="001033D4" w:rsidRPr="003665A3" w:rsidRDefault="001033D4" w:rsidP="008846B8">
            <w:pPr>
              <w:spacing w:afterLines="60" w:after="144"/>
              <w:rPr>
                <w:b/>
                <w:bCs/>
              </w:rPr>
            </w:pPr>
            <w:r w:rsidRPr="003665A3">
              <w:rPr>
                <w:b/>
                <w:bCs/>
              </w:rPr>
              <w:t>Data format</w:t>
            </w:r>
          </w:p>
        </w:tc>
        <w:tc>
          <w:tcPr>
            <w:tcW w:w="1210" w:type="dxa"/>
          </w:tcPr>
          <w:p w14:paraId="7DF1DBBD" w14:textId="77777777" w:rsidR="001033D4" w:rsidRPr="003665A3" w:rsidRDefault="001033D4" w:rsidP="008846B8">
            <w:pPr>
              <w:spacing w:afterLines="60" w:after="144"/>
              <w:rPr>
                <w:b/>
                <w:bCs/>
              </w:rPr>
            </w:pPr>
            <w:r w:rsidRPr="003665A3">
              <w:rPr>
                <w:b/>
                <w:bCs/>
              </w:rPr>
              <w:t>Missing data code</w:t>
            </w:r>
          </w:p>
        </w:tc>
      </w:tr>
      <w:tr w:rsidR="00E865A5" w:rsidRPr="003665A3" w14:paraId="4DFD8D22" w14:textId="77777777" w:rsidTr="003119E4">
        <w:trPr>
          <w:trHeight w:val="305"/>
        </w:trPr>
        <w:tc>
          <w:tcPr>
            <w:tcW w:w="2089" w:type="dxa"/>
            <w:noWrap/>
          </w:tcPr>
          <w:p w14:paraId="73637C45" w14:textId="30D525A5" w:rsidR="001033D4" w:rsidRPr="003665A3" w:rsidRDefault="003119E4" w:rsidP="008846B8">
            <w:pPr>
              <w:spacing w:afterLines="60" w:after="144"/>
              <w:rPr>
                <w:sz w:val="20"/>
              </w:rPr>
            </w:pPr>
            <w:r w:rsidRPr="003665A3">
              <w:rPr>
                <w:sz w:val="20"/>
              </w:rPr>
              <w:t>Species</w:t>
            </w:r>
          </w:p>
        </w:tc>
        <w:tc>
          <w:tcPr>
            <w:tcW w:w="1506" w:type="dxa"/>
          </w:tcPr>
          <w:p w14:paraId="4AA3684A" w14:textId="1983DB1B" w:rsidR="001033D4" w:rsidRPr="003665A3" w:rsidRDefault="003119E4" w:rsidP="008846B8">
            <w:pPr>
              <w:spacing w:afterLines="60" w:after="144"/>
              <w:rPr>
                <w:sz w:val="20"/>
              </w:rPr>
            </w:pPr>
            <w:r w:rsidRPr="003665A3">
              <w:rPr>
                <w:sz w:val="20"/>
              </w:rPr>
              <w:t>Focal species/strain of cyanobacteria</w:t>
            </w:r>
          </w:p>
        </w:tc>
        <w:tc>
          <w:tcPr>
            <w:tcW w:w="1214" w:type="dxa"/>
          </w:tcPr>
          <w:p w14:paraId="79E4B738" w14:textId="19C6B4E2" w:rsidR="001033D4" w:rsidRPr="003665A3" w:rsidRDefault="006C7D96" w:rsidP="008846B8">
            <w:pPr>
              <w:spacing w:afterLines="60" w:after="144"/>
              <w:rPr>
                <w:sz w:val="20"/>
              </w:rPr>
            </w:pPr>
            <w:r w:rsidRPr="003665A3">
              <w:rPr>
                <w:sz w:val="20"/>
              </w:rPr>
              <w:t>NA</w:t>
            </w:r>
          </w:p>
        </w:tc>
        <w:tc>
          <w:tcPr>
            <w:tcW w:w="1969" w:type="dxa"/>
          </w:tcPr>
          <w:p w14:paraId="5655E577" w14:textId="14A3E184" w:rsidR="001033D4" w:rsidRPr="003665A3" w:rsidRDefault="003119E4" w:rsidP="008846B8">
            <w:pPr>
              <w:spacing w:afterLines="60" w:after="144"/>
              <w:rPr>
                <w:sz w:val="20"/>
              </w:rPr>
            </w:pPr>
            <w:r w:rsidRPr="003665A3">
              <w:rPr>
                <w:sz w:val="20"/>
              </w:rPr>
              <w:t xml:space="preserve">Abbreviated genus; toxic vs. non-toxic strain of </w:t>
            </w:r>
            <w:r w:rsidRPr="003665A3">
              <w:rPr>
                <w:i/>
                <w:sz w:val="20"/>
              </w:rPr>
              <w:t>M. aeruginosa</w:t>
            </w:r>
            <w:r w:rsidRPr="003665A3">
              <w:rPr>
                <w:sz w:val="20"/>
              </w:rPr>
              <w:t xml:space="preserve"> indicated in parenthesis </w:t>
            </w:r>
          </w:p>
        </w:tc>
        <w:tc>
          <w:tcPr>
            <w:tcW w:w="1210" w:type="dxa"/>
          </w:tcPr>
          <w:p w14:paraId="3850E577" w14:textId="5D54AAE7" w:rsidR="001033D4" w:rsidRPr="003665A3" w:rsidRDefault="003119E4" w:rsidP="008846B8">
            <w:pPr>
              <w:spacing w:afterLines="60" w:after="144"/>
              <w:rPr>
                <w:sz w:val="20"/>
              </w:rPr>
            </w:pPr>
            <w:r w:rsidRPr="003665A3">
              <w:rPr>
                <w:sz w:val="20"/>
              </w:rPr>
              <w:t>NA</w:t>
            </w:r>
          </w:p>
        </w:tc>
        <w:tc>
          <w:tcPr>
            <w:tcW w:w="1210" w:type="dxa"/>
          </w:tcPr>
          <w:p w14:paraId="127FDAE7" w14:textId="7C768A82" w:rsidR="001033D4" w:rsidRPr="003665A3" w:rsidRDefault="003119E4" w:rsidP="008846B8">
            <w:pPr>
              <w:spacing w:afterLines="60" w:after="144"/>
              <w:rPr>
                <w:sz w:val="20"/>
              </w:rPr>
            </w:pPr>
            <w:r w:rsidRPr="003665A3">
              <w:rPr>
                <w:sz w:val="20"/>
              </w:rPr>
              <w:t>NA</w:t>
            </w:r>
          </w:p>
        </w:tc>
      </w:tr>
      <w:tr w:rsidR="00E865A5" w:rsidRPr="003665A3" w14:paraId="78BDEFC4" w14:textId="77777777" w:rsidTr="001033D4">
        <w:trPr>
          <w:trHeight w:val="300"/>
        </w:trPr>
        <w:tc>
          <w:tcPr>
            <w:tcW w:w="2089" w:type="dxa"/>
            <w:noWrap/>
          </w:tcPr>
          <w:p w14:paraId="131C3A8E" w14:textId="71898F3B" w:rsidR="001033D4" w:rsidRPr="003665A3" w:rsidRDefault="003119E4" w:rsidP="008846B8">
            <w:pPr>
              <w:spacing w:afterLines="60" w:after="144"/>
              <w:rPr>
                <w:sz w:val="20"/>
              </w:rPr>
            </w:pPr>
            <w:r w:rsidRPr="003665A3">
              <w:rPr>
                <w:sz w:val="20"/>
              </w:rPr>
              <w:t>Sample_ID</w:t>
            </w:r>
          </w:p>
        </w:tc>
        <w:tc>
          <w:tcPr>
            <w:tcW w:w="1506" w:type="dxa"/>
          </w:tcPr>
          <w:p w14:paraId="3CFF0DF6" w14:textId="719CA423" w:rsidR="001033D4" w:rsidRPr="003665A3" w:rsidRDefault="00E865A5" w:rsidP="008846B8">
            <w:pPr>
              <w:spacing w:afterLines="60" w:after="144"/>
              <w:rPr>
                <w:sz w:val="20"/>
              </w:rPr>
            </w:pPr>
            <w:r w:rsidRPr="003665A3">
              <w:rPr>
                <w:sz w:val="20"/>
              </w:rPr>
              <w:t>Well placement on TGB</w:t>
            </w:r>
          </w:p>
        </w:tc>
        <w:tc>
          <w:tcPr>
            <w:tcW w:w="1214" w:type="dxa"/>
          </w:tcPr>
          <w:p w14:paraId="1FC76EEF" w14:textId="11C2CE3F" w:rsidR="001033D4" w:rsidRPr="003665A3" w:rsidRDefault="006C7D96" w:rsidP="008846B8">
            <w:pPr>
              <w:spacing w:afterLines="60" w:after="144"/>
              <w:rPr>
                <w:sz w:val="20"/>
              </w:rPr>
            </w:pPr>
            <w:r w:rsidRPr="003665A3">
              <w:rPr>
                <w:sz w:val="20"/>
              </w:rPr>
              <w:t>NA</w:t>
            </w:r>
          </w:p>
        </w:tc>
        <w:tc>
          <w:tcPr>
            <w:tcW w:w="1969" w:type="dxa"/>
          </w:tcPr>
          <w:p w14:paraId="40F79520" w14:textId="7FE44CD7" w:rsidR="001033D4" w:rsidRPr="003665A3" w:rsidRDefault="00E865A5" w:rsidP="008846B8">
            <w:pPr>
              <w:spacing w:afterLines="60" w:after="144"/>
              <w:rPr>
                <w:sz w:val="20"/>
              </w:rPr>
            </w:pPr>
            <w:r w:rsidRPr="003665A3">
              <w:rPr>
                <w:sz w:val="20"/>
              </w:rPr>
              <w:t xml:space="preserve">1=coldest, back of TGB to 27=hottest, front of TGB (read back to front across TGB from cold to hot end) </w:t>
            </w:r>
          </w:p>
        </w:tc>
        <w:tc>
          <w:tcPr>
            <w:tcW w:w="1210" w:type="dxa"/>
          </w:tcPr>
          <w:p w14:paraId="7520BF58" w14:textId="2D42A855" w:rsidR="001033D4" w:rsidRPr="003665A3" w:rsidRDefault="00E865A5" w:rsidP="008846B8">
            <w:pPr>
              <w:spacing w:afterLines="60" w:after="144"/>
              <w:rPr>
                <w:sz w:val="20"/>
              </w:rPr>
            </w:pPr>
            <w:r w:rsidRPr="003665A3">
              <w:rPr>
                <w:sz w:val="20"/>
              </w:rPr>
              <w:t>NA</w:t>
            </w:r>
          </w:p>
        </w:tc>
        <w:tc>
          <w:tcPr>
            <w:tcW w:w="1210" w:type="dxa"/>
          </w:tcPr>
          <w:p w14:paraId="04598131" w14:textId="7893D3FD" w:rsidR="001033D4" w:rsidRPr="003665A3" w:rsidRDefault="003119E4" w:rsidP="008846B8">
            <w:pPr>
              <w:spacing w:afterLines="60" w:after="144"/>
              <w:rPr>
                <w:sz w:val="20"/>
              </w:rPr>
            </w:pPr>
            <w:r w:rsidRPr="003665A3">
              <w:rPr>
                <w:sz w:val="20"/>
              </w:rPr>
              <w:t>NA</w:t>
            </w:r>
          </w:p>
        </w:tc>
      </w:tr>
      <w:tr w:rsidR="00E865A5" w:rsidRPr="003665A3" w14:paraId="419E365A" w14:textId="77777777" w:rsidTr="001033D4">
        <w:trPr>
          <w:trHeight w:val="300"/>
        </w:trPr>
        <w:tc>
          <w:tcPr>
            <w:tcW w:w="2089" w:type="dxa"/>
            <w:noWrap/>
          </w:tcPr>
          <w:p w14:paraId="29A43089" w14:textId="153D5726" w:rsidR="001033D4" w:rsidRPr="003665A3" w:rsidRDefault="003119E4" w:rsidP="008846B8">
            <w:pPr>
              <w:spacing w:afterLines="60" w:after="144"/>
              <w:rPr>
                <w:sz w:val="20"/>
              </w:rPr>
            </w:pPr>
            <w:r w:rsidRPr="003665A3">
              <w:rPr>
                <w:sz w:val="20"/>
              </w:rPr>
              <w:t>Treatment</w:t>
            </w:r>
          </w:p>
        </w:tc>
        <w:tc>
          <w:tcPr>
            <w:tcW w:w="1506" w:type="dxa"/>
          </w:tcPr>
          <w:p w14:paraId="1AE6B4D7" w14:textId="35B866DD" w:rsidR="001033D4" w:rsidRPr="003665A3" w:rsidRDefault="00E865A5" w:rsidP="008846B8">
            <w:pPr>
              <w:spacing w:afterLines="60" w:after="144"/>
              <w:rPr>
                <w:sz w:val="20"/>
              </w:rPr>
            </w:pPr>
            <w:r w:rsidRPr="003665A3">
              <w:rPr>
                <w:sz w:val="20"/>
              </w:rPr>
              <w:t>Discrete acclimation temperature ID’s across TGB</w:t>
            </w:r>
          </w:p>
        </w:tc>
        <w:tc>
          <w:tcPr>
            <w:tcW w:w="1214" w:type="dxa"/>
          </w:tcPr>
          <w:p w14:paraId="1FB45102" w14:textId="62B5F8B3" w:rsidR="001033D4" w:rsidRPr="003665A3" w:rsidRDefault="006C7D96" w:rsidP="008846B8">
            <w:pPr>
              <w:spacing w:afterLines="60" w:after="144"/>
              <w:rPr>
                <w:sz w:val="20"/>
              </w:rPr>
            </w:pPr>
            <w:r w:rsidRPr="003665A3">
              <w:rPr>
                <w:sz w:val="20"/>
              </w:rPr>
              <w:t>NA</w:t>
            </w:r>
          </w:p>
        </w:tc>
        <w:tc>
          <w:tcPr>
            <w:tcW w:w="1969" w:type="dxa"/>
          </w:tcPr>
          <w:p w14:paraId="63947657" w14:textId="51EFDFDF" w:rsidR="001033D4" w:rsidRPr="003665A3" w:rsidRDefault="0073707C" w:rsidP="008846B8">
            <w:pPr>
              <w:spacing w:afterLines="60" w:after="144"/>
              <w:rPr>
                <w:sz w:val="20"/>
              </w:rPr>
            </w:pPr>
            <w:r w:rsidRPr="003665A3">
              <w:rPr>
                <w:sz w:val="20"/>
              </w:rPr>
              <w:t>1-9 representing the 9 distinct temperatures across the TGB from coldest to hottest.</w:t>
            </w:r>
          </w:p>
        </w:tc>
        <w:tc>
          <w:tcPr>
            <w:tcW w:w="1210" w:type="dxa"/>
          </w:tcPr>
          <w:p w14:paraId="518CE5C9" w14:textId="61964FD7" w:rsidR="001033D4" w:rsidRPr="003665A3" w:rsidRDefault="00E865A5" w:rsidP="008846B8">
            <w:pPr>
              <w:spacing w:afterLines="60" w:after="144"/>
              <w:rPr>
                <w:sz w:val="20"/>
              </w:rPr>
            </w:pPr>
            <w:r w:rsidRPr="003665A3">
              <w:rPr>
                <w:sz w:val="20"/>
              </w:rPr>
              <w:t>NA</w:t>
            </w:r>
          </w:p>
        </w:tc>
        <w:tc>
          <w:tcPr>
            <w:tcW w:w="1210" w:type="dxa"/>
          </w:tcPr>
          <w:p w14:paraId="2558255D" w14:textId="5A38790F" w:rsidR="001033D4" w:rsidRPr="003665A3" w:rsidRDefault="003119E4" w:rsidP="008846B8">
            <w:pPr>
              <w:spacing w:afterLines="60" w:after="144"/>
              <w:rPr>
                <w:sz w:val="20"/>
              </w:rPr>
            </w:pPr>
            <w:r w:rsidRPr="003665A3">
              <w:rPr>
                <w:sz w:val="20"/>
              </w:rPr>
              <w:t>NA</w:t>
            </w:r>
          </w:p>
        </w:tc>
      </w:tr>
      <w:tr w:rsidR="00E865A5" w:rsidRPr="003665A3" w14:paraId="4CD12C1E" w14:textId="77777777" w:rsidTr="001033D4">
        <w:trPr>
          <w:trHeight w:val="300"/>
        </w:trPr>
        <w:tc>
          <w:tcPr>
            <w:tcW w:w="2089" w:type="dxa"/>
            <w:noWrap/>
          </w:tcPr>
          <w:p w14:paraId="6D98052A" w14:textId="7D8DA8B9" w:rsidR="001033D4" w:rsidRPr="003665A3" w:rsidRDefault="003119E4" w:rsidP="008846B8">
            <w:pPr>
              <w:spacing w:afterLines="60" w:after="144"/>
              <w:rPr>
                <w:sz w:val="20"/>
              </w:rPr>
            </w:pPr>
            <w:r w:rsidRPr="003665A3">
              <w:rPr>
                <w:sz w:val="20"/>
              </w:rPr>
              <w:t>Nutrient.tx</w:t>
            </w:r>
          </w:p>
        </w:tc>
        <w:tc>
          <w:tcPr>
            <w:tcW w:w="1506" w:type="dxa"/>
          </w:tcPr>
          <w:p w14:paraId="7C0B20BA" w14:textId="12398D65" w:rsidR="001033D4" w:rsidRPr="003665A3" w:rsidRDefault="003E0934" w:rsidP="008846B8">
            <w:pPr>
              <w:spacing w:afterLines="60" w:after="144"/>
              <w:rPr>
                <w:sz w:val="20"/>
              </w:rPr>
            </w:pPr>
            <w:r w:rsidRPr="003665A3">
              <w:rPr>
                <w:sz w:val="20"/>
              </w:rPr>
              <w:t>Nutrient condition</w:t>
            </w:r>
          </w:p>
        </w:tc>
        <w:tc>
          <w:tcPr>
            <w:tcW w:w="1214" w:type="dxa"/>
          </w:tcPr>
          <w:p w14:paraId="51F3852B" w14:textId="68EB16B4" w:rsidR="001033D4" w:rsidRPr="003665A3" w:rsidRDefault="006C7D96" w:rsidP="008846B8">
            <w:pPr>
              <w:spacing w:afterLines="60" w:after="144"/>
              <w:rPr>
                <w:sz w:val="20"/>
              </w:rPr>
            </w:pPr>
            <w:r w:rsidRPr="003665A3">
              <w:rPr>
                <w:sz w:val="20"/>
              </w:rPr>
              <w:t>NA</w:t>
            </w:r>
          </w:p>
        </w:tc>
        <w:tc>
          <w:tcPr>
            <w:tcW w:w="1969" w:type="dxa"/>
          </w:tcPr>
          <w:p w14:paraId="0648975E" w14:textId="5E160B14" w:rsidR="001033D4" w:rsidRPr="003665A3" w:rsidRDefault="003E0934" w:rsidP="008846B8">
            <w:pPr>
              <w:spacing w:afterLines="60" w:after="144"/>
              <w:rPr>
                <w:sz w:val="20"/>
              </w:rPr>
            </w:pPr>
            <w:r w:rsidRPr="003665A3">
              <w:rPr>
                <w:sz w:val="20"/>
              </w:rPr>
              <w:t>LOW=Limited, NORM=Replete</w:t>
            </w:r>
          </w:p>
        </w:tc>
        <w:tc>
          <w:tcPr>
            <w:tcW w:w="1210" w:type="dxa"/>
          </w:tcPr>
          <w:p w14:paraId="29E3B556" w14:textId="383DAD03" w:rsidR="001033D4" w:rsidRPr="003665A3" w:rsidRDefault="003E0934" w:rsidP="008846B8">
            <w:pPr>
              <w:spacing w:afterLines="60" w:after="144"/>
              <w:rPr>
                <w:sz w:val="20"/>
              </w:rPr>
            </w:pPr>
            <w:r w:rsidRPr="003665A3">
              <w:rPr>
                <w:sz w:val="20"/>
              </w:rPr>
              <w:t>NA</w:t>
            </w:r>
          </w:p>
        </w:tc>
        <w:tc>
          <w:tcPr>
            <w:tcW w:w="1210" w:type="dxa"/>
          </w:tcPr>
          <w:p w14:paraId="1FB062F6" w14:textId="438920DF" w:rsidR="001033D4" w:rsidRPr="003665A3" w:rsidRDefault="003119E4" w:rsidP="008846B8">
            <w:pPr>
              <w:spacing w:afterLines="60" w:after="144"/>
              <w:rPr>
                <w:sz w:val="20"/>
              </w:rPr>
            </w:pPr>
            <w:r w:rsidRPr="003665A3">
              <w:rPr>
                <w:sz w:val="20"/>
              </w:rPr>
              <w:t>NA</w:t>
            </w:r>
          </w:p>
        </w:tc>
      </w:tr>
      <w:tr w:rsidR="00E865A5" w:rsidRPr="003665A3" w14:paraId="40D6CDC2" w14:textId="77777777" w:rsidTr="001033D4">
        <w:trPr>
          <w:trHeight w:val="300"/>
        </w:trPr>
        <w:tc>
          <w:tcPr>
            <w:tcW w:w="2089" w:type="dxa"/>
            <w:noWrap/>
          </w:tcPr>
          <w:p w14:paraId="2C15DE15" w14:textId="1A13D07B" w:rsidR="003119E4" w:rsidRPr="003665A3" w:rsidRDefault="003119E4" w:rsidP="008846B8">
            <w:pPr>
              <w:spacing w:afterLines="60" w:after="144"/>
              <w:rPr>
                <w:sz w:val="20"/>
              </w:rPr>
            </w:pPr>
            <w:r w:rsidRPr="003665A3">
              <w:rPr>
                <w:sz w:val="20"/>
              </w:rPr>
              <w:t>Acute.temp.id</w:t>
            </w:r>
          </w:p>
        </w:tc>
        <w:tc>
          <w:tcPr>
            <w:tcW w:w="1506" w:type="dxa"/>
          </w:tcPr>
          <w:p w14:paraId="5DF5A757" w14:textId="771C9EFF" w:rsidR="003119E4" w:rsidRPr="003665A3" w:rsidRDefault="00E865A5" w:rsidP="008846B8">
            <w:pPr>
              <w:spacing w:afterLines="60" w:after="144"/>
              <w:rPr>
                <w:sz w:val="20"/>
              </w:rPr>
            </w:pPr>
            <w:r w:rsidRPr="003665A3">
              <w:rPr>
                <w:sz w:val="20"/>
              </w:rPr>
              <w:t>Discrete acute temperature ID’s across TGB</w:t>
            </w:r>
          </w:p>
        </w:tc>
        <w:tc>
          <w:tcPr>
            <w:tcW w:w="1214" w:type="dxa"/>
          </w:tcPr>
          <w:p w14:paraId="34219B09" w14:textId="437EDD43" w:rsidR="003119E4" w:rsidRPr="003665A3" w:rsidRDefault="006C7D96" w:rsidP="008846B8">
            <w:pPr>
              <w:spacing w:afterLines="60" w:after="144"/>
              <w:rPr>
                <w:sz w:val="20"/>
              </w:rPr>
            </w:pPr>
            <w:r w:rsidRPr="003665A3">
              <w:rPr>
                <w:sz w:val="20"/>
              </w:rPr>
              <w:t>NA</w:t>
            </w:r>
          </w:p>
        </w:tc>
        <w:tc>
          <w:tcPr>
            <w:tcW w:w="1969" w:type="dxa"/>
          </w:tcPr>
          <w:p w14:paraId="0845675D" w14:textId="432D91CB" w:rsidR="003119E4" w:rsidRPr="003665A3" w:rsidRDefault="0073707C" w:rsidP="008846B8">
            <w:pPr>
              <w:spacing w:afterLines="60" w:after="144"/>
              <w:rPr>
                <w:sz w:val="20"/>
              </w:rPr>
            </w:pPr>
            <w:r w:rsidRPr="003665A3">
              <w:rPr>
                <w:sz w:val="20"/>
              </w:rPr>
              <w:t>1-9 representing the 9 distinct temperatures across the TGB from coldest to hottest.</w:t>
            </w:r>
          </w:p>
        </w:tc>
        <w:tc>
          <w:tcPr>
            <w:tcW w:w="1210" w:type="dxa"/>
          </w:tcPr>
          <w:p w14:paraId="699B0C03" w14:textId="76AE2484" w:rsidR="003119E4" w:rsidRPr="003665A3" w:rsidRDefault="0073707C" w:rsidP="008846B8">
            <w:pPr>
              <w:spacing w:afterLines="60" w:after="144"/>
              <w:rPr>
                <w:sz w:val="20"/>
              </w:rPr>
            </w:pPr>
            <w:r w:rsidRPr="003665A3">
              <w:rPr>
                <w:sz w:val="20"/>
              </w:rPr>
              <w:t>NA</w:t>
            </w:r>
          </w:p>
        </w:tc>
        <w:tc>
          <w:tcPr>
            <w:tcW w:w="1210" w:type="dxa"/>
          </w:tcPr>
          <w:p w14:paraId="7C28B5E3" w14:textId="7EBEDE7A" w:rsidR="003119E4" w:rsidRPr="003665A3" w:rsidRDefault="003119E4" w:rsidP="008846B8">
            <w:pPr>
              <w:spacing w:afterLines="60" w:after="144"/>
              <w:rPr>
                <w:sz w:val="20"/>
              </w:rPr>
            </w:pPr>
            <w:r w:rsidRPr="003665A3">
              <w:rPr>
                <w:sz w:val="20"/>
              </w:rPr>
              <w:t>NA</w:t>
            </w:r>
          </w:p>
        </w:tc>
      </w:tr>
      <w:tr w:rsidR="00E865A5" w:rsidRPr="003665A3" w14:paraId="6E0CF9C8" w14:textId="77777777" w:rsidTr="001033D4">
        <w:trPr>
          <w:trHeight w:val="300"/>
        </w:trPr>
        <w:tc>
          <w:tcPr>
            <w:tcW w:w="2089" w:type="dxa"/>
            <w:noWrap/>
          </w:tcPr>
          <w:p w14:paraId="50BFDD6F" w14:textId="6AF76FFD" w:rsidR="003119E4" w:rsidRPr="003665A3" w:rsidRDefault="003119E4" w:rsidP="008846B8">
            <w:pPr>
              <w:spacing w:afterLines="60" w:after="144"/>
              <w:rPr>
                <w:sz w:val="20"/>
              </w:rPr>
            </w:pPr>
            <w:r w:rsidRPr="003665A3">
              <w:rPr>
                <w:sz w:val="20"/>
              </w:rPr>
              <w:t>Replicate</w:t>
            </w:r>
          </w:p>
        </w:tc>
        <w:tc>
          <w:tcPr>
            <w:tcW w:w="1506" w:type="dxa"/>
          </w:tcPr>
          <w:p w14:paraId="6B9EBBCB" w14:textId="23900ABE" w:rsidR="003119E4" w:rsidRPr="003665A3" w:rsidRDefault="00BF552F" w:rsidP="008846B8">
            <w:pPr>
              <w:spacing w:afterLines="60" w:after="144"/>
              <w:rPr>
                <w:sz w:val="20"/>
              </w:rPr>
            </w:pPr>
            <w:r w:rsidRPr="003665A3">
              <w:rPr>
                <w:sz w:val="20"/>
              </w:rPr>
              <w:t>Replicate populations (each in own test tube)</w:t>
            </w:r>
            <w:r w:rsidR="00F75070" w:rsidRPr="003665A3">
              <w:rPr>
                <w:sz w:val="20"/>
              </w:rPr>
              <w:t xml:space="preserve"> and placement in individual well on TGB</w:t>
            </w:r>
          </w:p>
        </w:tc>
        <w:tc>
          <w:tcPr>
            <w:tcW w:w="1214" w:type="dxa"/>
          </w:tcPr>
          <w:p w14:paraId="43975E18" w14:textId="52072156" w:rsidR="003119E4" w:rsidRPr="003665A3" w:rsidRDefault="006C7D96" w:rsidP="008846B8">
            <w:pPr>
              <w:spacing w:afterLines="60" w:after="144"/>
              <w:rPr>
                <w:sz w:val="20"/>
              </w:rPr>
            </w:pPr>
            <w:r w:rsidRPr="003665A3">
              <w:rPr>
                <w:sz w:val="20"/>
              </w:rPr>
              <w:t>NA</w:t>
            </w:r>
          </w:p>
        </w:tc>
        <w:tc>
          <w:tcPr>
            <w:tcW w:w="1969" w:type="dxa"/>
          </w:tcPr>
          <w:p w14:paraId="2101A898" w14:textId="77006F83" w:rsidR="003119E4" w:rsidRPr="003665A3" w:rsidRDefault="00F75070" w:rsidP="008846B8">
            <w:pPr>
              <w:spacing w:afterLines="60" w:after="144"/>
              <w:rPr>
                <w:sz w:val="20"/>
              </w:rPr>
            </w:pPr>
            <w:r w:rsidRPr="003665A3">
              <w:rPr>
                <w:sz w:val="20"/>
              </w:rPr>
              <w:t>A-C=3 replicates for specified treatment, D-F=another 3 replicates for specified treatment; A-</w:t>
            </w:r>
            <w:r w:rsidR="00007307" w:rsidRPr="003665A3">
              <w:rPr>
                <w:sz w:val="20"/>
              </w:rPr>
              <w:t>F</w:t>
            </w:r>
            <w:r w:rsidRPr="003665A3">
              <w:rPr>
                <w:sz w:val="20"/>
              </w:rPr>
              <w:t xml:space="preserve"> all placed in a circle equidistant from one another along the inner circumference of one well in the TGB. </w:t>
            </w:r>
          </w:p>
        </w:tc>
        <w:tc>
          <w:tcPr>
            <w:tcW w:w="1210" w:type="dxa"/>
          </w:tcPr>
          <w:p w14:paraId="57AD9BF2" w14:textId="56D220B5" w:rsidR="003119E4" w:rsidRPr="003665A3" w:rsidRDefault="00F75070" w:rsidP="008846B8">
            <w:pPr>
              <w:spacing w:afterLines="60" w:after="144"/>
              <w:rPr>
                <w:sz w:val="20"/>
              </w:rPr>
            </w:pPr>
            <w:r w:rsidRPr="003665A3">
              <w:rPr>
                <w:sz w:val="20"/>
              </w:rPr>
              <w:t>NA</w:t>
            </w:r>
          </w:p>
        </w:tc>
        <w:tc>
          <w:tcPr>
            <w:tcW w:w="1210" w:type="dxa"/>
          </w:tcPr>
          <w:p w14:paraId="3A446CC1" w14:textId="7B69FBDB" w:rsidR="003119E4" w:rsidRPr="003665A3" w:rsidRDefault="003119E4" w:rsidP="008846B8">
            <w:pPr>
              <w:spacing w:afterLines="60" w:after="144"/>
              <w:rPr>
                <w:sz w:val="20"/>
              </w:rPr>
            </w:pPr>
            <w:r w:rsidRPr="003665A3">
              <w:rPr>
                <w:sz w:val="20"/>
              </w:rPr>
              <w:t>NA</w:t>
            </w:r>
          </w:p>
        </w:tc>
      </w:tr>
      <w:tr w:rsidR="00E865A5" w:rsidRPr="003665A3" w14:paraId="22F73CBD" w14:textId="77777777" w:rsidTr="001033D4">
        <w:trPr>
          <w:trHeight w:val="300"/>
        </w:trPr>
        <w:tc>
          <w:tcPr>
            <w:tcW w:w="2089" w:type="dxa"/>
            <w:noWrap/>
          </w:tcPr>
          <w:p w14:paraId="39D972F6" w14:textId="297F64C7" w:rsidR="003119E4" w:rsidRPr="003665A3" w:rsidRDefault="003119E4" w:rsidP="008846B8">
            <w:pPr>
              <w:spacing w:afterLines="60" w:after="144"/>
              <w:rPr>
                <w:sz w:val="20"/>
              </w:rPr>
            </w:pPr>
            <w:r w:rsidRPr="003665A3">
              <w:rPr>
                <w:sz w:val="20"/>
              </w:rPr>
              <w:t>Acclim.temp</w:t>
            </w:r>
          </w:p>
        </w:tc>
        <w:tc>
          <w:tcPr>
            <w:tcW w:w="1506" w:type="dxa"/>
          </w:tcPr>
          <w:p w14:paraId="661C0D59" w14:textId="612369E2" w:rsidR="003119E4" w:rsidRPr="003665A3" w:rsidRDefault="00E865A5" w:rsidP="008846B8">
            <w:pPr>
              <w:spacing w:afterLines="60" w:after="144"/>
              <w:rPr>
                <w:sz w:val="20"/>
              </w:rPr>
            </w:pPr>
            <w:r w:rsidRPr="003665A3">
              <w:rPr>
                <w:sz w:val="20"/>
              </w:rPr>
              <w:t>Discrete acclimation temperatures across TGB</w:t>
            </w:r>
          </w:p>
        </w:tc>
        <w:tc>
          <w:tcPr>
            <w:tcW w:w="1214" w:type="dxa"/>
          </w:tcPr>
          <w:p w14:paraId="5D390232" w14:textId="3D3507F9" w:rsidR="003119E4" w:rsidRPr="003665A3" w:rsidRDefault="00E865A5" w:rsidP="008846B8">
            <w:pPr>
              <w:spacing w:afterLines="60" w:after="144"/>
              <w:rPr>
                <w:sz w:val="20"/>
              </w:rPr>
            </w:pPr>
            <w:r w:rsidRPr="003665A3">
              <w:rPr>
                <w:sz w:val="20"/>
              </w:rPr>
              <w:t>Celsius</w:t>
            </w:r>
          </w:p>
        </w:tc>
        <w:tc>
          <w:tcPr>
            <w:tcW w:w="1969" w:type="dxa"/>
          </w:tcPr>
          <w:p w14:paraId="6F162375" w14:textId="660AB663" w:rsidR="003119E4" w:rsidRPr="003665A3" w:rsidRDefault="00B13B7F" w:rsidP="008846B8">
            <w:pPr>
              <w:spacing w:afterLines="60" w:after="144"/>
              <w:rPr>
                <w:sz w:val="20"/>
              </w:rPr>
            </w:pPr>
            <w:r w:rsidRPr="003665A3">
              <w:rPr>
                <w:sz w:val="20"/>
              </w:rPr>
              <w:t>NA</w:t>
            </w:r>
          </w:p>
        </w:tc>
        <w:tc>
          <w:tcPr>
            <w:tcW w:w="1210" w:type="dxa"/>
          </w:tcPr>
          <w:p w14:paraId="3F5B43E7" w14:textId="2611B377" w:rsidR="003119E4" w:rsidRPr="003665A3" w:rsidRDefault="00B13B7F" w:rsidP="008846B8">
            <w:pPr>
              <w:spacing w:afterLines="60" w:after="144"/>
              <w:rPr>
                <w:sz w:val="20"/>
              </w:rPr>
            </w:pPr>
            <w:r w:rsidRPr="003665A3">
              <w:rPr>
                <w:sz w:val="20"/>
              </w:rPr>
              <w:t>Rounded to the nearest hundredth</w:t>
            </w:r>
          </w:p>
        </w:tc>
        <w:tc>
          <w:tcPr>
            <w:tcW w:w="1210" w:type="dxa"/>
          </w:tcPr>
          <w:p w14:paraId="2B48CD43" w14:textId="2BF00568" w:rsidR="003119E4" w:rsidRPr="003665A3" w:rsidRDefault="003119E4" w:rsidP="008846B8">
            <w:pPr>
              <w:spacing w:afterLines="60" w:after="144"/>
              <w:rPr>
                <w:sz w:val="20"/>
              </w:rPr>
            </w:pPr>
            <w:r w:rsidRPr="003665A3">
              <w:rPr>
                <w:sz w:val="20"/>
              </w:rPr>
              <w:t>NA</w:t>
            </w:r>
          </w:p>
        </w:tc>
      </w:tr>
      <w:tr w:rsidR="00E865A5" w:rsidRPr="003665A3" w14:paraId="0FDD4F23" w14:textId="77777777" w:rsidTr="001033D4">
        <w:trPr>
          <w:trHeight w:val="300"/>
        </w:trPr>
        <w:tc>
          <w:tcPr>
            <w:tcW w:w="2089" w:type="dxa"/>
            <w:noWrap/>
          </w:tcPr>
          <w:p w14:paraId="01FCB6CE" w14:textId="50020F29" w:rsidR="003119E4" w:rsidRPr="003665A3" w:rsidRDefault="003119E4" w:rsidP="008846B8">
            <w:pPr>
              <w:spacing w:afterLines="60" w:after="144"/>
              <w:rPr>
                <w:sz w:val="20"/>
              </w:rPr>
            </w:pPr>
            <w:r w:rsidRPr="003665A3">
              <w:rPr>
                <w:sz w:val="20"/>
              </w:rPr>
              <w:t>Acute.temp</w:t>
            </w:r>
          </w:p>
        </w:tc>
        <w:tc>
          <w:tcPr>
            <w:tcW w:w="1506" w:type="dxa"/>
          </w:tcPr>
          <w:p w14:paraId="56FDA60C" w14:textId="221A30C1" w:rsidR="003119E4" w:rsidRPr="003665A3" w:rsidRDefault="00E865A5" w:rsidP="008846B8">
            <w:pPr>
              <w:spacing w:afterLines="60" w:after="144"/>
              <w:rPr>
                <w:sz w:val="20"/>
              </w:rPr>
            </w:pPr>
            <w:r w:rsidRPr="003665A3">
              <w:rPr>
                <w:sz w:val="20"/>
              </w:rPr>
              <w:t>Discrete acute temperatures across TGB</w:t>
            </w:r>
          </w:p>
        </w:tc>
        <w:tc>
          <w:tcPr>
            <w:tcW w:w="1214" w:type="dxa"/>
          </w:tcPr>
          <w:p w14:paraId="5BD7F074" w14:textId="011EF3D7" w:rsidR="003119E4" w:rsidRPr="003665A3" w:rsidRDefault="00E865A5" w:rsidP="008846B8">
            <w:pPr>
              <w:spacing w:afterLines="60" w:after="144"/>
              <w:rPr>
                <w:sz w:val="20"/>
              </w:rPr>
            </w:pPr>
            <w:r w:rsidRPr="003665A3">
              <w:rPr>
                <w:sz w:val="20"/>
              </w:rPr>
              <w:t>Celsius</w:t>
            </w:r>
          </w:p>
        </w:tc>
        <w:tc>
          <w:tcPr>
            <w:tcW w:w="1969" w:type="dxa"/>
          </w:tcPr>
          <w:p w14:paraId="063077AC" w14:textId="74C0BEFC" w:rsidR="003119E4" w:rsidRPr="003665A3" w:rsidRDefault="00B13B7F" w:rsidP="008846B8">
            <w:pPr>
              <w:spacing w:afterLines="60" w:after="144"/>
              <w:rPr>
                <w:sz w:val="20"/>
              </w:rPr>
            </w:pPr>
            <w:r w:rsidRPr="003665A3">
              <w:rPr>
                <w:sz w:val="20"/>
              </w:rPr>
              <w:t>NA</w:t>
            </w:r>
          </w:p>
        </w:tc>
        <w:tc>
          <w:tcPr>
            <w:tcW w:w="1210" w:type="dxa"/>
          </w:tcPr>
          <w:p w14:paraId="0C6BB9AF" w14:textId="0182329D" w:rsidR="003119E4" w:rsidRPr="003665A3" w:rsidRDefault="00B13B7F" w:rsidP="008846B8">
            <w:pPr>
              <w:spacing w:afterLines="60" w:after="144"/>
              <w:rPr>
                <w:sz w:val="20"/>
              </w:rPr>
            </w:pPr>
            <w:r w:rsidRPr="003665A3">
              <w:rPr>
                <w:sz w:val="20"/>
              </w:rPr>
              <w:t>Rounded to the nearest hundredth</w:t>
            </w:r>
          </w:p>
        </w:tc>
        <w:tc>
          <w:tcPr>
            <w:tcW w:w="1210" w:type="dxa"/>
          </w:tcPr>
          <w:p w14:paraId="1BBF2AE5" w14:textId="320C4292" w:rsidR="003119E4" w:rsidRPr="003665A3" w:rsidRDefault="003119E4" w:rsidP="008846B8">
            <w:pPr>
              <w:spacing w:afterLines="60" w:after="144"/>
              <w:rPr>
                <w:sz w:val="20"/>
              </w:rPr>
            </w:pPr>
            <w:r w:rsidRPr="003665A3">
              <w:rPr>
                <w:sz w:val="20"/>
              </w:rPr>
              <w:t>NA</w:t>
            </w:r>
          </w:p>
        </w:tc>
      </w:tr>
      <w:tr w:rsidR="00E865A5" w:rsidRPr="003665A3" w14:paraId="5E9D4836" w14:textId="77777777" w:rsidTr="001033D4">
        <w:trPr>
          <w:trHeight w:val="300"/>
        </w:trPr>
        <w:tc>
          <w:tcPr>
            <w:tcW w:w="2089" w:type="dxa"/>
            <w:noWrap/>
          </w:tcPr>
          <w:p w14:paraId="723E30A1" w14:textId="5A11AACE" w:rsidR="003119E4" w:rsidRPr="003665A3" w:rsidRDefault="003119E4" w:rsidP="008846B8">
            <w:pPr>
              <w:spacing w:afterLines="60" w:after="144"/>
              <w:rPr>
                <w:sz w:val="20"/>
              </w:rPr>
            </w:pPr>
            <w:r w:rsidRPr="003665A3">
              <w:rPr>
                <w:sz w:val="20"/>
              </w:rPr>
              <w:lastRenderedPageBreak/>
              <w:t>Temp.tx</w:t>
            </w:r>
          </w:p>
        </w:tc>
        <w:tc>
          <w:tcPr>
            <w:tcW w:w="1506" w:type="dxa"/>
          </w:tcPr>
          <w:p w14:paraId="56DC8719" w14:textId="4D195E0D" w:rsidR="003119E4" w:rsidRPr="003665A3" w:rsidRDefault="00746F84" w:rsidP="008846B8">
            <w:pPr>
              <w:spacing w:afterLines="60" w:after="144"/>
              <w:rPr>
                <w:sz w:val="20"/>
              </w:rPr>
            </w:pPr>
            <w:r w:rsidRPr="003665A3">
              <w:rPr>
                <w:sz w:val="20"/>
              </w:rPr>
              <w:t>Acclimation treatment name</w:t>
            </w:r>
          </w:p>
        </w:tc>
        <w:tc>
          <w:tcPr>
            <w:tcW w:w="1214" w:type="dxa"/>
          </w:tcPr>
          <w:p w14:paraId="6537B899" w14:textId="2DA424FB" w:rsidR="003119E4" w:rsidRPr="003665A3" w:rsidRDefault="006C7D96" w:rsidP="008846B8">
            <w:pPr>
              <w:spacing w:afterLines="60" w:after="144"/>
              <w:rPr>
                <w:sz w:val="20"/>
              </w:rPr>
            </w:pPr>
            <w:r w:rsidRPr="003665A3">
              <w:rPr>
                <w:sz w:val="20"/>
              </w:rPr>
              <w:t>NA</w:t>
            </w:r>
          </w:p>
        </w:tc>
        <w:tc>
          <w:tcPr>
            <w:tcW w:w="1969" w:type="dxa"/>
          </w:tcPr>
          <w:p w14:paraId="25B1C2B7" w14:textId="4CE8343C" w:rsidR="003119E4" w:rsidRPr="003665A3" w:rsidRDefault="009572DD" w:rsidP="008846B8">
            <w:pPr>
              <w:spacing w:afterLines="60" w:after="144"/>
              <w:rPr>
                <w:sz w:val="20"/>
              </w:rPr>
            </w:pPr>
            <w:r w:rsidRPr="003665A3">
              <w:rPr>
                <w:sz w:val="20"/>
              </w:rPr>
              <w:t>Cold=cold-acclimated, Hot=hot-acclimated, Blank=fully-acclimated</w:t>
            </w:r>
          </w:p>
        </w:tc>
        <w:tc>
          <w:tcPr>
            <w:tcW w:w="1210" w:type="dxa"/>
          </w:tcPr>
          <w:p w14:paraId="2F87A6FF" w14:textId="77777777" w:rsidR="003119E4" w:rsidRPr="003665A3" w:rsidRDefault="003119E4" w:rsidP="008846B8">
            <w:pPr>
              <w:spacing w:afterLines="60" w:after="144"/>
              <w:rPr>
                <w:sz w:val="20"/>
              </w:rPr>
            </w:pPr>
          </w:p>
        </w:tc>
        <w:tc>
          <w:tcPr>
            <w:tcW w:w="1210" w:type="dxa"/>
          </w:tcPr>
          <w:p w14:paraId="021E472D" w14:textId="1B62A213" w:rsidR="003119E4" w:rsidRPr="003665A3" w:rsidRDefault="003119E4" w:rsidP="008846B8">
            <w:pPr>
              <w:spacing w:afterLines="60" w:after="144"/>
              <w:rPr>
                <w:sz w:val="20"/>
              </w:rPr>
            </w:pPr>
            <w:r w:rsidRPr="003665A3">
              <w:rPr>
                <w:sz w:val="20"/>
              </w:rPr>
              <w:t>NA</w:t>
            </w:r>
          </w:p>
        </w:tc>
      </w:tr>
      <w:tr w:rsidR="00E865A5" w:rsidRPr="003665A3" w14:paraId="09D0C003" w14:textId="77777777" w:rsidTr="001033D4">
        <w:trPr>
          <w:trHeight w:val="300"/>
        </w:trPr>
        <w:tc>
          <w:tcPr>
            <w:tcW w:w="2089" w:type="dxa"/>
            <w:noWrap/>
          </w:tcPr>
          <w:p w14:paraId="3B0C304E" w14:textId="3A01DE62" w:rsidR="003119E4" w:rsidRPr="003665A3" w:rsidRDefault="003119E4" w:rsidP="008846B8">
            <w:pPr>
              <w:spacing w:afterLines="60" w:after="144"/>
              <w:rPr>
                <w:sz w:val="20"/>
              </w:rPr>
            </w:pPr>
            <w:r w:rsidRPr="003665A3">
              <w:rPr>
                <w:sz w:val="20"/>
              </w:rPr>
              <w:t>Medium</w:t>
            </w:r>
          </w:p>
        </w:tc>
        <w:tc>
          <w:tcPr>
            <w:tcW w:w="1506" w:type="dxa"/>
          </w:tcPr>
          <w:p w14:paraId="5DA5EDE3" w14:textId="6B5D1CAD" w:rsidR="003119E4" w:rsidRPr="003665A3" w:rsidRDefault="003E0934" w:rsidP="008846B8">
            <w:pPr>
              <w:spacing w:afterLines="60" w:after="144"/>
              <w:rPr>
                <w:sz w:val="20"/>
              </w:rPr>
            </w:pPr>
            <w:r w:rsidRPr="003665A3">
              <w:rPr>
                <w:sz w:val="20"/>
              </w:rPr>
              <w:t>Media type</w:t>
            </w:r>
          </w:p>
        </w:tc>
        <w:tc>
          <w:tcPr>
            <w:tcW w:w="1214" w:type="dxa"/>
          </w:tcPr>
          <w:p w14:paraId="41A3F73B" w14:textId="0CFF3418" w:rsidR="003119E4" w:rsidRPr="003665A3" w:rsidRDefault="006C7D96" w:rsidP="008846B8">
            <w:pPr>
              <w:spacing w:afterLines="60" w:after="144"/>
              <w:rPr>
                <w:sz w:val="20"/>
              </w:rPr>
            </w:pPr>
            <w:r w:rsidRPr="003665A3">
              <w:rPr>
                <w:sz w:val="20"/>
              </w:rPr>
              <w:t>NA</w:t>
            </w:r>
          </w:p>
        </w:tc>
        <w:tc>
          <w:tcPr>
            <w:tcW w:w="1969" w:type="dxa"/>
          </w:tcPr>
          <w:p w14:paraId="4A505D23" w14:textId="1016012D" w:rsidR="003119E4" w:rsidRPr="003665A3" w:rsidRDefault="003E0934" w:rsidP="008846B8">
            <w:pPr>
              <w:spacing w:afterLines="60" w:after="144"/>
              <w:rPr>
                <w:sz w:val="20"/>
              </w:rPr>
            </w:pPr>
            <w:r w:rsidRPr="003665A3">
              <w:rPr>
                <w:sz w:val="20"/>
              </w:rPr>
              <w:t>B Limited=Limited, A Replete=Replete</w:t>
            </w:r>
          </w:p>
        </w:tc>
        <w:tc>
          <w:tcPr>
            <w:tcW w:w="1210" w:type="dxa"/>
          </w:tcPr>
          <w:p w14:paraId="0811E53B" w14:textId="75DD859A" w:rsidR="003119E4" w:rsidRPr="003665A3" w:rsidRDefault="003E0934" w:rsidP="008846B8">
            <w:pPr>
              <w:spacing w:afterLines="60" w:after="144"/>
              <w:rPr>
                <w:sz w:val="20"/>
              </w:rPr>
            </w:pPr>
            <w:r w:rsidRPr="003665A3">
              <w:rPr>
                <w:sz w:val="20"/>
              </w:rPr>
              <w:t>NA</w:t>
            </w:r>
          </w:p>
        </w:tc>
        <w:tc>
          <w:tcPr>
            <w:tcW w:w="1210" w:type="dxa"/>
          </w:tcPr>
          <w:p w14:paraId="3193AFEC" w14:textId="31F06DDF" w:rsidR="003119E4" w:rsidRPr="003665A3" w:rsidRDefault="003119E4" w:rsidP="008846B8">
            <w:pPr>
              <w:spacing w:afterLines="60" w:after="144"/>
              <w:rPr>
                <w:sz w:val="20"/>
              </w:rPr>
            </w:pPr>
            <w:r w:rsidRPr="003665A3">
              <w:rPr>
                <w:sz w:val="20"/>
              </w:rPr>
              <w:t>NA</w:t>
            </w:r>
          </w:p>
        </w:tc>
      </w:tr>
      <w:tr w:rsidR="00E865A5" w:rsidRPr="003665A3" w14:paraId="7E5F49D0" w14:textId="77777777" w:rsidTr="001033D4">
        <w:trPr>
          <w:trHeight w:val="300"/>
        </w:trPr>
        <w:tc>
          <w:tcPr>
            <w:tcW w:w="2089" w:type="dxa"/>
            <w:noWrap/>
          </w:tcPr>
          <w:p w14:paraId="16BE3A96" w14:textId="183C5A73" w:rsidR="003119E4" w:rsidRPr="003665A3" w:rsidRDefault="003119E4" w:rsidP="008846B8">
            <w:pPr>
              <w:spacing w:afterLines="60" w:after="144"/>
              <w:rPr>
                <w:sz w:val="20"/>
              </w:rPr>
            </w:pPr>
            <w:r w:rsidRPr="003665A3">
              <w:rPr>
                <w:sz w:val="20"/>
              </w:rPr>
              <w:t>mu</w:t>
            </w:r>
          </w:p>
        </w:tc>
        <w:tc>
          <w:tcPr>
            <w:tcW w:w="1506" w:type="dxa"/>
          </w:tcPr>
          <w:p w14:paraId="1ADA589F" w14:textId="1B893545" w:rsidR="003119E4" w:rsidRPr="003665A3" w:rsidRDefault="00F02581" w:rsidP="008846B8">
            <w:pPr>
              <w:spacing w:afterLines="60" w:after="144"/>
              <w:rPr>
                <w:sz w:val="20"/>
                <w:szCs w:val="20"/>
              </w:rPr>
            </w:pPr>
            <w:r w:rsidRPr="003665A3">
              <w:rPr>
                <w:sz w:val="20"/>
                <w:szCs w:val="20"/>
              </w:rPr>
              <w:t>Best growth rate estimate</w:t>
            </w:r>
            <w:r w:rsidR="0092276B" w:rsidRPr="003665A3">
              <w:rPr>
                <w:sz w:val="20"/>
                <w:szCs w:val="20"/>
              </w:rPr>
              <w:t xml:space="preserve"> (derived using growthTools package, DOI:10.5281/zenodo.3634918)</w:t>
            </w:r>
          </w:p>
        </w:tc>
        <w:tc>
          <w:tcPr>
            <w:tcW w:w="1214" w:type="dxa"/>
          </w:tcPr>
          <w:p w14:paraId="45869438" w14:textId="02980EBA" w:rsidR="003119E4" w:rsidRPr="003665A3" w:rsidRDefault="0092276B" w:rsidP="008846B8">
            <w:pPr>
              <w:spacing w:afterLines="60" w:after="144"/>
              <w:rPr>
                <w:sz w:val="20"/>
              </w:rPr>
            </w:pPr>
            <w:r w:rsidRPr="003665A3">
              <w:rPr>
                <w:sz w:val="20"/>
              </w:rPr>
              <w:t>1/day</w:t>
            </w:r>
          </w:p>
        </w:tc>
        <w:tc>
          <w:tcPr>
            <w:tcW w:w="1969" w:type="dxa"/>
          </w:tcPr>
          <w:p w14:paraId="56F0F49F" w14:textId="0AED1E53" w:rsidR="003119E4" w:rsidRPr="003665A3" w:rsidRDefault="0092276B" w:rsidP="008846B8">
            <w:pPr>
              <w:spacing w:afterLines="60" w:after="144"/>
              <w:rPr>
                <w:sz w:val="20"/>
              </w:rPr>
            </w:pPr>
            <w:r w:rsidRPr="003665A3">
              <w:rPr>
                <w:sz w:val="20"/>
              </w:rPr>
              <w:t>NA</w:t>
            </w:r>
          </w:p>
        </w:tc>
        <w:tc>
          <w:tcPr>
            <w:tcW w:w="1210" w:type="dxa"/>
          </w:tcPr>
          <w:p w14:paraId="74E54E27" w14:textId="6E5C3CFB" w:rsidR="003119E4" w:rsidRPr="003665A3" w:rsidRDefault="0025631A" w:rsidP="008846B8">
            <w:pPr>
              <w:spacing w:afterLines="60" w:after="144"/>
              <w:rPr>
                <w:sz w:val="20"/>
              </w:rPr>
            </w:pPr>
            <w:r w:rsidRPr="003665A3">
              <w:rPr>
                <w:sz w:val="20"/>
              </w:rPr>
              <w:t>NA</w:t>
            </w:r>
          </w:p>
        </w:tc>
        <w:tc>
          <w:tcPr>
            <w:tcW w:w="1210" w:type="dxa"/>
          </w:tcPr>
          <w:p w14:paraId="1BF41892" w14:textId="6FB3DBFA" w:rsidR="003119E4" w:rsidRPr="003665A3" w:rsidRDefault="003119E4" w:rsidP="008846B8">
            <w:pPr>
              <w:spacing w:afterLines="60" w:after="144"/>
              <w:rPr>
                <w:sz w:val="20"/>
              </w:rPr>
            </w:pPr>
            <w:r w:rsidRPr="003665A3">
              <w:rPr>
                <w:sz w:val="20"/>
              </w:rPr>
              <w:t>NA</w:t>
            </w:r>
          </w:p>
        </w:tc>
      </w:tr>
      <w:tr w:rsidR="00E865A5" w:rsidRPr="003665A3" w14:paraId="6A03BF5C" w14:textId="77777777" w:rsidTr="001033D4">
        <w:trPr>
          <w:trHeight w:val="300"/>
        </w:trPr>
        <w:tc>
          <w:tcPr>
            <w:tcW w:w="2089" w:type="dxa"/>
            <w:noWrap/>
          </w:tcPr>
          <w:p w14:paraId="08F664D2" w14:textId="3FF76C1C" w:rsidR="003119E4" w:rsidRPr="003665A3" w:rsidRDefault="003119E4" w:rsidP="008846B8">
            <w:pPr>
              <w:spacing w:afterLines="60" w:after="144"/>
              <w:rPr>
                <w:sz w:val="20"/>
              </w:rPr>
            </w:pPr>
            <w:r w:rsidRPr="003665A3">
              <w:rPr>
                <w:sz w:val="20"/>
              </w:rPr>
              <w:t>best.model</w:t>
            </w:r>
          </w:p>
        </w:tc>
        <w:tc>
          <w:tcPr>
            <w:tcW w:w="1506" w:type="dxa"/>
          </w:tcPr>
          <w:p w14:paraId="6F867306" w14:textId="51AB8F58" w:rsidR="003119E4" w:rsidRPr="003665A3" w:rsidRDefault="00F02581" w:rsidP="008846B8">
            <w:pPr>
              <w:spacing w:afterLines="60" w:after="144"/>
              <w:rPr>
                <w:sz w:val="20"/>
                <w:szCs w:val="20"/>
              </w:rPr>
            </w:pPr>
            <w:r w:rsidRPr="003665A3">
              <w:rPr>
                <w:sz w:val="20"/>
                <w:szCs w:val="20"/>
              </w:rPr>
              <w:t>Identity of the model that produced growth rate estimate</w:t>
            </w:r>
            <w:r w:rsidR="0092276B" w:rsidRPr="003665A3">
              <w:rPr>
                <w:sz w:val="20"/>
                <w:szCs w:val="20"/>
              </w:rPr>
              <w:t xml:space="preserve"> (derived using growthTools package, DOI:10.5281/zenodo.3634918)</w:t>
            </w:r>
          </w:p>
        </w:tc>
        <w:tc>
          <w:tcPr>
            <w:tcW w:w="1214" w:type="dxa"/>
          </w:tcPr>
          <w:p w14:paraId="13F7A9DD" w14:textId="487B5843" w:rsidR="003119E4" w:rsidRPr="003665A3" w:rsidRDefault="006C7D96" w:rsidP="008846B8">
            <w:pPr>
              <w:spacing w:afterLines="60" w:after="144"/>
              <w:rPr>
                <w:sz w:val="20"/>
              </w:rPr>
            </w:pPr>
            <w:r w:rsidRPr="003665A3">
              <w:rPr>
                <w:sz w:val="20"/>
              </w:rPr>
              <w:t>NA</w:t>
            </w:r>
          </w:p>
        </w:tc>
        <w:tc>
          <w:tcPr>
            <w:tcW w:w="1969" w:type="dxa"/>
          </w:tcPr>
          <w:p w14:paraId="1F3C405B" w14:textId="5985079C" w:rsidR="003119E4" w:rsidRPr="003665A3" w:rsidRDefault="00F02581" w:rsidP="008846B8">
            <w:pPr>
              <w:spacing w:afterLines="60" w:after="144"/>
              <w:rPr>
                <w:sz w:val="20"/>
              </w:rPr>
            </w:pPr>
            <w:r w:rsidRPr="003665A3">
              <w:rPr>
                <w:sz w:val="20"/>
              </w:rPr>
              <w:t>gr=</w:t>
            </w:r>
            <w:r w:rsidR="0025631A" w:rsidRPr="003665A3">
              <w:rPr>
                <w:sz w:val="20"/>
              </w:rPr>
              <w:t>linear regression model</w:t>
            </w:r>
          </w:p>
        </w:tc>
        <w:tc>
          <w:tcPr>
            <w:tcW w:w="1210" w:type="dxa"/>
          </w:tcPr>
          <w:p w14:paraId="657D97F5" w14:textId="01DD1437" w:rsidR="003119E4" w:rsidRPr="003665A3" w:rsidRDefault="0025631A" w:rsidP="008846B8">
            <w:pPr>
              <w:spacing w:afterLines="60" w:after="144"/>
              <w:rPr>
                <w:sz w:val="20"/>
              </w:rPr>
            </w:pPr>
            <w:r w:rsidRPr="003665A3">
              <w:rPr>
                <w:sz w:val="20"/>
              </w:rPr>
              <w:t>NA</w:t>
            </w:r>
          </w:p>
        </w:tc>
        <w:tc>
          <w:tcPr>
            <w:tcW w:w="1210" w:type="dxa"/>
          </w:tcPr>
          <w:p w14:paraId="1E3B74FD" w14:textId="620AE919" w:rsidR="003119E4" w:rsidRPr="003665A3" w:rsidRDefault="003119E4" w:rsidP="008846B8">
            <w:pPr>
              <w:spacing w:afterLines="60" w:after="144"/>
              <w:rPr>
                <w:sz w:val="20"/>
              </w:rPr>
            </w:pPr>
            <w:r w:rsidRPr="003665A3">
              <w:rPr>
                <w:sz w:val="20"/>
              </w:rPr>
              <w:t>NA</w:t>
            </w:r>
          </w:p>
        </w:tc>
      </w:tr>
      <w:tr w:rsidR="00E865A5" w:rsidRPr="003665A3" w14:paraId="0E6DD175" w14:textId="77777777" w:rsidTr="001033D4">
        <w:trPr>
          <w:trHeight w:val="300"/>
        </w:trPr>
        <w:tc>
          <w:tcPr>
            <w:tcW w:w="2089" w:type="dxa"/>
            <w:noWrap/>
          </w:tcPr>
          <w:p w14:paraId="159E1977" w14:textId="4B8948D0" w:rsidR="003119E4" w:rsidRPr="003665A3" w:rsidRDefault="003119E4" w:rsidP="008846B8">
            <w:pPr>
              <w:spacing w:afterLines="60" w:after="144"/>
              <w:rPr>
                <w:sz w:val="20"/>
              </w:rPr>
            </w:pPr>
            <w:r w:rsidRPr="003665A3">
              <w:rPr>
                <w:sz w:val="20"/>
              </w:rPr>
              <w:t>rsqr</w:t>
            </w:r>
          </w:p>
        </w:tc>
        <w:tc>
          <w:tcPr>
            <w:tcW w:w="1506" w:type="dxa"/>
          </w:tcPr>
          <w:p w14:paraId="6D43A6C5" w14:textId="6E4745C9" w:rsidR="003119E4" w:rsidRPr="003665A3" w:rsidRDefault="0092276B" w:rsidP="008846B8">
            <w:pPr>
              <w:spacing w:afterLines="60" w:after="144"/>
              <w:rPr>
                <w:sz w:val="20"/>
              </w:rPr>
            </w:pPr>
            <w:r w:rsidRPr="003665A3">
              <w:rPr>
                <w:sz w:val="20"/>
              </w:rPr>
              <w:t xml:space="preserve">R squared </w:t>
            </w:r>
            <w:r w:rsidRPr="003665A3">
              <w:rPr>
                <w:sz w:val="20"/>
                <w:szCs w:val="20"/>
              </w:rPr>
              <w:t>(derived using growthTools package, DOI:10.5281/zenodo.3634918)</w:t>
            </w:r>
          </w:p>
        </w:tc>
        <w:tc>
          <w:tcPr>
            <w:tcW w:w="1214" w:type="dxa"/>
          </w:tcPr>
          <w:p w14:paraId="5761CAC7" w14:textId="79B91A9F" w:rsidR="003119E4" w:rsidRPr="003665A3" w:rsidRDefault="006C7D96" w:rsidP="008846B8">
            <w:pPr>
              <w:spacing w:afterLines="60" w:after="144"/>
              <w:rPr>
                <w:sz w:val="20"/>
              </w:rPr>
            </w:pPr>
            <w:r w:rsidRPr="003665A3">
              <w:rPr>
                <w:sz w:val="20"/>
              </w:rPr>
              <w:t>NA</w:t>
            </w:r>
          </w:p>
        </w:tc>
        <w:tc>
          <w:tcPr>
            <w:tcW w:w="1969" w:type="dxa"/>
          </w:tcPr>
          <w:p w14:paraId="5DAD0DD5" w14:textId="130CA709" w:rsidR="003119E4" w:rsidRPr="003665A3" w:rsidRDefault="0025631A" w:rsidP="008846B8">
            <w:pPr>
              <w:spacing w:afterLines="60" w:after="144"/>
              <w:rPr>
                <w:sz w:val="20"/>
              </w:rPr>
            </w:pPr>
            <w:r w:rsidRPr="003665A3">
              <w:rPr>
                <w:sz w:val="20"/>
              </w:rPr>
              <w:t>NA</w:t>
            </w:r>
          </w:p>
        </w:tc>
        <w:tc>
          <w:tcPr>
            <w:tcW w:w="1210" w:type="dxa"/>
          </w:tcPr>
          <w:p w14:paraId="52F8808A" w14:textId="2A25E0AB" w:rsidR="003119E4" w:rsidRPr="003665A3" w:rsidRDefault="0025631A" w:rsidP="008846B8">
            <w:pPr>
              <w:spacing w:afterLines="60" w:after="144"/>
              <w:rPr>
                <w:sz w:val="20"/>
              </w:rPr>
            </w:pPr>
            <w:r w:rsidRPr="003665A3">
              <w:rPr>
                <w:sz w:val="20"/>
              </w:rPr>
              <w:t>NA</w:t>
            </w:r>
          </w:p>
        </w:tc>
        <w:tc>
          <w:tcPr>
            <w:tcW w:w="1210" w:type="dxa"/>
          </w:tcPr>
          <w:p w14:paraId="22681802" w14:textId="579D57D8" w:rsidR="003119E4" w:rsidRPr="003665A3" w:rsidRDefault="003119E4" w:rsidP="008846B8">
            <w:pPr>
              <w:spacing w:afterLines="60" w:after="144"/>
              <w:rPr>
                <w:sz w:val="20"/>
              </w:rPr>
            </w:pPr>
            <w:r w:rsidRPr="003665A3">
              <w:rPr>
                <w:sz w:val="20"/>
              </w:rPr>
              <w:t>NA</w:t>
            </w:r>
          </w:p>
        </w:tc>
      </w:tr>
      <w:tr w:rsidR="00E865A5" w:rsidRPr="003665A3" w14:paraId="5F95BE51" w14:textId="77777777" w:rsidTr="001033D4">
        <w:trPr>
          <w:trHeight w:val="300"/>
        </w:trPr>
        <w:tc>
          <w:tcPr>
            <w:tcW w:w="2089" w:type="dxa"/>
            <w:noWrap/>
          </w:tcPr>
          <w:p w14:paraId="226AF8C3" w14:textId="46DE1A97" w:rsidR="003119E4" w:rsidRPr="003665A3" w:rsidRDefault="003119E4" w:rsidP="008846B8">
            <w:pPr>
              <w:spacing w:afterLines="60" w:after="144"/>
              <w:rPr>
                <w:sz w:val="20"/>
              </w:rPr>
            </w:pPr>
            <w:r w:rsidRPr="003665A3">
              <w:rPr>
                <w:sz w:val="20"/>
              </w:rPr>
              <w:t>lnf0</w:t>
            </w:r>
          </w:p>
        </w:tc>
        <w:tc>
          <w:tcPr>
            <w:tcW w:w="1506" w:type="dxa"/>
          </w:tcPr>
          <w:p w14:paraId="7CD615FF" w14:textId="0D0BC8B0" w:rsidR="003119E4" w:rsidRPr="003665A3" w:rsidRDefault="0025631A" w:rsidP="008846B8">
            <w:pPr>
              <w:spacing w:afterLines="60" w:after="144"/>
              <w:rPr>
                <w:sz w:val="20"/>
              </w:rPr>
            </w:pPr>
            <w:r w:rsidRPr="003665A3">
              <w:rPr>
                <w:sz w:val="20"/>
              </w:rPr>
              <w:t>ln(fluorescence)</w:t>
            </w:r>
          </w:p>
        </w:tc>
        <w:tc>
          <w:tcPr>
            <w:tcW w:w="1214" w:type="dxa"/>
          </w:tcPr>
          <w:p w14:paraId="3C16CA94" w14:textId="17EDE2C6" w:rsidR="003119E4" w:rsidRPr="003665A3" w:rsidRDefault="006B06C3" w:rsidP="008846B8">
            <w:pPr>
              <w:spacing w:afterLines="60" w:after="144"/>
              <w:rPr>
                <w:sz w:val="20"/>
              </w:rPr>
            </w:pPr>
            <w:r w:rsidRPr="003665A3">
              <w:rPr>
                <w:sz w:val="20"/>
              </w:rPr>
              <w:t>Raw Fluorescence Units (RFU)</w:t>
            </w:r>
          </w:p>
        </w:tc>
        <w:tc>
          <w:tcPr>
            <w:tcW w:w="1969" w:type="dxa"/>
          </w:tcPr>
          <w:p w14:paraId="51665BD1" w14:textId="3D12F772" w:rsidR="003119E4" w:rsidRPr="003665A3" w:rsidRDefault="0025631A" w:rsidP="008846B8">
            <w:pPr>
              <w:spacing w:afterLines="60" w:after="144"/>
              <w:rPr>
                <w:sz w:val="20"/>
              </w:rPr>
            </w:pPr>
            <w:r w:rsidRPr="003665A3">
              <w:rPr>
                <w:sz w:val="20"/>
              </w:rPr>
              <w:t>NA</w:t>
            </w:r>
          </w:p>
        </w:tc>
        <w:tc>
          <w:tcPr>
            <w:tcW w:w="1210" w:type="dxa"/>
          </w:tcPr>
          <w:p w14:paraId="5EDD48C6" w14:textId="0CCDDD85" w:rsidR="003119E4" w:rsidRPr="003665A3" w:rsidRDefault="0025631A" w:rsidP="008846B8">
            <w:pPr>
              <w:spacing w:afterLines="60" w:after="144"/>
              <w:rPr>
                <w:sz w:val="20"/>
              </w:rPr>
            </w:pPr>
            <w:r w:rsidRPr="003665A3">
              <w:rPr>
                <w:sz w:val="20"/>
              </w:rPr>
              <w:t>NA</w:t>
            </w:r>
          </w:p>
        </w:tc>
        <w:tc>
          <w:tcPr>
            <w:tcW w:w="1210" w:type="dxa"/>
          </w:tcPr>
          <w:p w14:paraId="6A3DCAB0" w14:textId="4A3FEBA9" w:rsidR="003119E4" w:rsidRPr="003665A3" w:rsidRDefault="003119E4" w:rsidP="008846B8">
            <w:pPr>
              <w:spacing w:afterLines="60" w:after="144"/>
              <w:rPr>
                <w:sz w:val="20"/>
              </w:rPr>
            </w:pPr>
            <w:r w:rsidRPr="003665A3">
              <w:rPr>
                <w:sz w:val="20"/>
              </w:rPr>
              <w:t>NA</w:t>
            </w:r>
          </w:p>
        </w:tc>
      </w:tr>
      <w:tr w:rsidR="00E865A5" w:rsidRPr="003665A3" w14:paraId="6961B95F" w14:textId="77777777" w:rsidTr="001033D4">
        <w:trPr>
          <w:trHeight w:val="300"/>
        </w:trPr>
        <w:tc>
          <w:tcPr>
            <w:tcW w:w="2089" w:type="dxa"/>
            <w:noWrap/>
          </w:tcPr>
          <w:p w14:paraId="4A02C348" w14:textId="37DCDE69" w:rsidR="003119E4" w:rsidRPr="003665A3" w:rsidRDefault="003119E4" w:rsidP="008846B8">
            <w:pPr>
              <w:spacing w:afterLines="60" w:after="144"/>
              <w:rPr>
                <w:sz w:val="20"/>
              </w:rPr>
            </w:pPr>
            <w:r w:rsidRPr="003665A3">
              <w:rPr>
                <w:sz w:val="20"/>
              </w:rPr>
              <w:t xml:space="preserve">id </w:t>
            </w:r>
          </w:p>
        </w:tc>
        <w:tc>
          <w:tcPr>
            <w:tcW w:w="1506" w:type="dxa"/>
          </w:tcPr>
          <w:p w14:paraId="670A8C60" w14:textId="5E5A64C9" w:rsidR="003119E4" w:rsidRPr="003665A3" w:rsidRDefault="0092276B" w:rsidP="008846B8">
            <w:pPr>
              <w:spacing w:afterLines="60" w:after="144"/>
              <w:rPr>
                <w:sz w:val="20"/>
              </w:rPr>
            </w:pPr>
            <w:r w:rsidRPr="003665A3">
              <w:rPr>
                <w:sz w:val="20"/>
              </w:rPr>
              <w:t>Distinct ID’s for each sample</w:t>
            </w:r>
          </w:p>
        </w:tc>
        <w:tc>
          <w:tcPr>
            <w:tcW w:w="1214" w:type="dxa"/>
          </w:tcPr>
          <w:p w14:paraId="1AB83C4F" w14:textId="7CCA4248" w:rsidR="003119E4" w:rsidRPr="003665A3" w:rsidRDefault="006C7D96" w:rsidP="008846B8">
            <w:pPr>
              <w:spacing w:afterLines="60" w:after="144"/>
              <w:rPr>
                <w:sz w:val="20"/>
              </w:rPr>
            </w:pPr>
            <w:r w:rsidRPr="003665A3">
              <w:rPr>
                <w:sz w:val="20"/>
              </w:rPr>
              <w:t>NA</w:t>
            </w:r>
          </w:p>
        </w:tc>
        <w:tc>
          <w:tcPr>
            <w:tcW w:w="1969" w:type="dxa"/>
          </w:tcPr>
          <w:p w14:paraId="28EE58B9" w14:textId="41F52916" w:rsidR="003119E4" w:rsidRPr="003665A3" w:rsidRDefault="0092276B" w:rsidP="008846B8">
            <w:pPr>
              <w:spacing w:afterLines="60" w:after="144"/>
              <w:rPr>
                <w:sz w:val="20"/>
              </w:rPr>
            </w:pPr>
            <w:r w:rsidRPr="003665A3">
              <w:rPr>
                <w:sz w:val="20"/>
              </w:rPr>
              <w:t>Each ID corresponds to Species, Treatment, Nutrient.tx, Sample_ID, and Replicate</w:t>
            </w:r>
          </w:p>
        </w:tc>
        <w:tc>
          <w:tcPr>
            <w:tcW w:w="1210" w:type="dxa"/>
          </w:tcPr>
          <w:p w14:paraId="5ACE899F" w14:textId="32538132" w:rsidR="003119E4" w:rsidRPr="003665A3" w:rsidRDefault="0092276B" w:rsidP="008846B8">
            <w:pPr>
              <w:spacing w:afterLines="60" w:after="144"/>
              <w:rPr>
                <w:sz w:val="20"/>
              </w:rPr>
            </w:pPr>
            <w:r w:rsidRPr="003665A3">
              <w:rPr>
                <w:sz w:val="20"/>
              </w:rPr>
              <w:t>NA</w:t>
            </w:r>
          </w:p>
        </w:tc>
        <w:tc>
          <w:tcPr>
            <w:tcW w:w="1210" w:type="dxa"/>
          </w:tcPr>
          <w:p w14:paraId="40827F7D" w14:textId="11408558" w:rsidR="003119E4" w:rsidRPr="003665A3" w:rsidRDefault="003119E4" w:rsidP="008846B8">
            <w:pPr>
              <w:spacing w:afterLines="60" w:after="144"/>
              <w:rPr>
                <w:sz w:val="20"/>
              </w:rPr>
            </w:pPr>
            <w:r w:rsidRPr="003665A3">
              <w:rPr>
                <w:sz w:val="20"/>
              </w:rPr>
              <w:t>NA</w:t>
            </w:r>
          </w:p>
        </w:tc>
      </w:tr>
    </w:tbl>
    <w:p w14:paraId="57DD646E" w14:textId="77777777" w:rsidR="00CA274F" w:rsidRPr="003665A3" w:rsidRDefault="00CA274F" w:rsidP="008846B8">
      <w:pPr>
        <w:spacing w:afterLines="60" w:after="144"/>
      </w:pPr>
    </w:p>
    <w:p w14:paraId="6362A5E7" w14:textId="7C6F8A8F" w:rsidR="001033D4" w:rsidRPr="003665A3" w:rsidRDefault="001033D4" w:rsidP="008846B8">
      <w:pPr>
        <w:spacing w:afterLines="60" w:after="144"/>
        <w:rPr>
          <w:i/>
        </w:rPr>
      </w:pPr>
      <w:r w:rsidRPr="003665A3">
        <w:t xml:space="preserve">Dataset filename: </w:t>
      </w:r>
      <w:r w:rsidR="00EF2F16" w:rsidRPr="003665A3">
        <w:rPr>
          <w:i/>
        </w:rPr>
        <w:t>Cyano_toxin_data.csv</w:t>
      </w:r>
    </w:p>
    <w:p w14:paraId="5A8375DE" w14:textId="539C46A7" w:rsidR="001033D4" w:rsidRPr="003665A3" w:rsidRDefault="001033D4" w:rsidP="008846B8">
      <w:pPr>
        <w:spacing w:afterLines="60" w:after="144"/>
        <w:rPr>
          <w:i/>
        </w:rPr>
      </w:pPr>
      <w:r w:rsidRPr="003665A3">
        <w:t xml:space="preserve">Dataset description: </w:t>
      </w:r>
      <w:r w:rsidR="00CD2216" w:rsidRPr="003665A3">
        <w:rPr>
          <w:i/>
        </w:rPr>
        <w:t>Measurements of fluorescence and microcystin concentration of M. aeruginosa following a temperature perturbation</w:t>
      </w:r>
    </w:p>
    <w:tbl>
      <w:tblPr>
        <w:tblStyle w:val="TableGrid"/>
        <w:tblW w:w="9198" w:type="dxa"/>
        <w:tblInd w:w="378" w:type="dxa"/>
        <w:tblLook w:val="04A0" w:firstRow="1" w:lastRow="0" w:firstColumn="1" w:lastColumn="0" w:noHBand="0" w:noVBand="1"/>
      </w:tblPr>
      <w:tblGrid>
        <w:gridCol w:w="2090"/>
        <w:gridCol w:w="1645"/>
        <w:gridCol w:w="1272"/>
        <w:gridCol w:w="1835"/>
        <w:gridCol w:w="1216"/>
        <w:gridCol w:w="1140"/>
      </w:tblGrid>
      <w:tr w:rsidR="001033D4" w:rsidRPr="003665A3" w14:paraId="6C8BD393" w14:textId="77777777" w:rsidTr="00AA2DEC">
        <w:trPr>
          <w:trHeight w:val="315"/>
        </w:trPr>
        <w:tc>
          <w:tcPr>
            <w:tcW w:w="2089" w:type="dxa"/>
            <w:noWrap/>
            <w:hideMark/>
          </w:tcPr>
          <w:p w14:paraId="004DB585" w14:textId="77777777" w:rsidR="001033D4" w:rsidRPr="003665A3" w:rsidRDefault="001033D4" w:rsidP="008846B8">
            <w:pPr>
              <w:spacing w:afterLines="60" w:after="144"/>
              <w:rPr>
                <w:b/>
                <w:bCs/>
              </w:rPr>
            </w:pPr>
            <w:r w:rsidRPr="003665A3">
              <w:rPr>
                <w:b/>
                <w:bCs/>
              </w:rPr>
              <w:t>Column name</w:t>
            </w:r>
          </w:p>
        </w:tc>
        <w:tc>
          <w:tcPr>
            <w:tcW w:w="1682" w:type="dxa"/>
            <w:hideMark/>
          </w:tcPr>
          <w:p w14:paraId="40396A0F" w14:textId="77777777" w:rsidR="001033D4" w:rsidRPr="003665A3" w:rsidRDefault="001033D4" w:rsidP="008846B8">
            <w:pPr>
              <w:spacing w:afterLines="60" w:after="144"/>
              <w:rPr>
                <w:b/>
                <w:bCs/>
              </w:rPr>
            </w:pPr>
            <w:r w:rsidRPr="003665A3">
              <w:rPr>
                <w:b/>
                <w:bCs/>
              </w:rPr>
              <w:t>Description</w:t>
            </w:r>
          </w:p>
        </w:tc>
        <w:tc>
          <w:tcPr>
            <w:tcW w:w="1164" w:type="dxa"/>
          </w:tcPr>
          <w:p w14:paraId="75A6AADF" w14:textId="77777777" w:rsidR="001033D4" w:rsidRPr="003665A3" w:rsidRDefault="001033D4" w:rsidP="008846B8">
            <w:pPr>
              <w:spacing w:afterLines="60" w:after="144"/>
              <w:rPr>
                <w:b/>
                <w:bCs/>
              </w:rPr>
            </w:pPr>
            <w:r w:rsidRPr="003665A3">
              <w:rPr>
                <w:b/>
                <w:bCs/>
              </w:rPr>
              <w:t>Units</w:t>
            </w:r>
          </w:p>
        </w:tc>
        <w:tc>
          <w:tcPr>
            <w:tcW w:w="1888" w:type="dxa"/>
          </w:tcPr>
          <w:p w14:paraId="15F62B0B" w14:textId="77777777" w:rsidR="001033D4" w:rsidRPr="003665A3" w:rsidRDefault="001033D4" w:rsidP="008846B8">
            <w:pPr>
              <w:spacing w:afterLines="60" w:after="144"/>
              <w:rPr>
                <w:b/>
                <w:bCs/>
              </w:rPr>
            </w:pPr>
            <w:r w:rsidRPr="003665A3">
              <w:rPr>
                <w:b/>
                <w:bCs/>
              </w:rPr>
              <w:t>Code explanation</w:t>
            </w:r>
          </w:p>
        </w:tc>
        <w:tc>
          <w:tcPr>
            <w:tcW w:w="1228" w:type="dxa"/>
          </w:tcPr>
          <w:p w14:paraId="1FDE0C8E" w14:textId="77777777" w:rsidR="001033D4" w:rsidRPr="003665A3" w:rsidRDefault="001033D4" w:rsidP="008846B8">
            <w:pPr>
              <w:spacing w:afterLines="60" w:after="144"/>
              <w:rPr>
                <w:b/>
                <w:bCs/>
              </w:rPr>
            </w:pPr>
            <w:r w:rsidRPr="003665A3">
              <w:rPr>
                <w:b/>
                <w:bCs/>
              </w:rPr>
              <w:t>Data format</w:t>
            </w:r>
          </w:p>
        </w:tc>
        <w:tc>
          <w:tcPr>
            <w:tcW w:w="1147" w:type="dxa"/>
          </w:tcPr>
          <w:p w14:paraId="249468F9" w14:textId="77777777" w:rsidR="001033D4" w:rsidRPr="003665A3" w:rsidRDefault="001033D4" w:rsidP="008846B8">
            <w:pPr>
              <w:spacing w:afterLines="60" w:after="144"/>
              <w:rPr>
                <w:b/>
                <w:bCs/>
              </w:rPr>
            </w:pPr>
            <w:r w:rsidRPr="003665A3">
              <w:rPr>
                <w:b/>
                <w:bCs/>
              </w:rPr>
              <w:t>Missing data code</w:t>
            </w:r>
          </w:p>
        </w:tc>
      </w:tr>
      <w:tr w:rsidR="00FC5ED6" w:rsidRPr="003665A3" w14:paraId="2FABDB5F" w14:textId="77777777" w:rsidTr="00AA2DEC">
        <w:trPr>
          <w:trHeight w:val="305"/>
        </w:trPr>
        <w:tc>
          <w:tcPr>
            <w:tcW w:w="2089" w:type="dxa"/>
            <w:noWrap/>
          </w:tcPr>
          <w:p w14:paraId="74614E01" w14:textId="77777777" w:rsidR="00FC5ED6" w:rsidRPr="003665A3" w:rsidRDefault="00FC5ED6" w:rsidP="00FC5ED6">
            <w:pPr>
              <w:spacing w:afterLines="60" w:after="144"/>
              <w:rPr>
                <w:sz w:val="20"/>
              </w:rPr>
            </w:pPr>
            <w:r w:rsidRPr="003665A3">
              <w:rPr>
                <w:sz w:val="20"/>
              </w:rPr>
              <w:t>Species</w:t>
            </w:r>
          </w:p>
        </w:tc>
        <w:tc>
          <w:tcPr>
            <w:tcW w:w="1682" w:type="dxa"/>
          </w:tcPr>
          <w:p w14:paraId="53FA6723" w14:textId="5F8C59C2" w:rsidR="00FC5ED6" w:rsidRPr="003665A3" w:rsidRDefault="00FC5ED6" w:rsidP="00FC5ED6">
            <w:pPr>
              <w:spacing w:afterLines="60" w:after="144"/>
              <w:rPr>
                <w:sz w:val="20"/>
              </w:rPr>
            </w:pPr>
            <w:r w:rsidRPr="003665A3">
              <w:rPr>
                <w:sz w:val="20"/>
              </w:rPr>
              <w:t>Focal species/strain of cyanobacteria</w:t>
            </w:r>
          </w:p>
        </w:tc>
        <w:tc>
          <w:tcPr>
            <w:tcW w:w="1164" w:type="dxa"/>
          </w:tcPr>
          <w:p w14:paraId="48537D69" w14:textId="66516E15" w:rsidR="00FC5ED6" w:rsidRPr="003665A3" w:rsidRDefault="006B06C3" w:rsidP="00FC5ED6">
            <w:pPr>
              <w:spacing w:afterLines="60" w:after="144"/>
              <w:rPr>
                <w:sz w:val="20"/>
              </w:rPr>
            </w:pPr>
            <w:r w:rsidRPr="003665A3">
              <w:rPr>
                <w:sz w:val="20"/>
              </w:rPr>
              <w:t>NA</w:t>
            </w:r>
          </w:p>
        </w:tc>
        <w:tc>
          <w:tcPr>
            <w:tcW w:w="1888" w:type="dxa"/>
          </w:tcPr>
          <w:p w14:paraId="45FEFADD" w14:textId="572739E2" w:rsidR="00FC5ED6" w:rsidRPr="003665A3" w:rsidRDefault="00FC5ED6" w:rsidP="00FC5ED6">
            <w:pPr>
              <w:spacing w:afterLines="60" w:after="144"/>
              <w:rPr>
                <w:b/>
                <w:sz w:val="20"/>
              </w:rPr>
            </w:pPr>
            <w:r w:rsidRPr="003665A3">
              <w:rPr>
                <w:sz w:val="20"/>
              </w:rPr>
              <w:t xml:space="preserve">Abbreviated genus; toxic strain of </w:t>
            </w:r>
            <w:r w:rsidRPr="003665A3">
              <w:rPr>
                <w:i/>
                <w:sz w:val="20"/>
              </w:rPr>
              <w:t>M. aeruginosa</w:t>
            </w:r>
            <w:r w:rsidRPr="003665A3">
              <w:rPr>
                <w:sz w:val="20"/>
              </w:rPr>
              <w:t xml:space="preserve"> only </w:t>
            </w:r>
          </w:p>
        </w:tc>
        <w:tc>
          <w:tcPr>
            <w:tcW w:w="1228" w:type="dxa"/>
          </w:tcPr>
          <w:p w14:paraId="61EAC254" w14:textId="1E85443F" w:rsidR="00FC5ED6" w:rsidRPr="003665A3" w:rsidRDefault="00FC5ED6" w:rsidP="00FC5ED6">
            <w:pPr>
              <w:spacing w:afterLines="60" w:after="144"/>
              <w:rPr>
                <w:sz w:val="20"/>
              </w:rPr>
            </w:pPr>
            <w:r w:rsidRPr="003665A3">
              <w:rPr>
                <w:sz w:val="20"/>
              </w:rPr>
              <w:t>NA</w:t>
            </w:r>
          </w:p>
        </w:tc>
        <w:tc>
          <w:tcPr>
            <w:tcW w:w="1147" w:type="dxa"/>
          </w:tcPr>
          <w:p w14:paraId="062E0CC0" w14:textId="10CCD75B" w:rsidR="00FC5ED6" w:rsidRPr="003665A3" w:rsidRDefault="00FC5ED6" w:rsidP="00FC5ED6">
            <w:pPr>
              <w:spacing w:afterLines="60" w:after="144"/>
              <w:rPr>
                <w:i/>
                <w:sz w:val="20"/>
              </w:rPr>
            </w:pPr>
            <w:r w:rsidRPr="003665A3">
              <w:rPr>
                <w:sz w:val="20"/>
              </w:rPr>
              <w:t>N</w:t>
            </w:r>
            <w:r w:rsidR="00FB2443" w:rsidRPr="003665A3">
              <w:rPr>
                <w:sz w:val="20"/>
              </w:rPr>
              <w:t>ot applicable to standards</w:t>
            </w:r>
          </w:p>
        </w:tc>
      </w:tr>
      <w:tr w:rsidR="003119E4" w:rsidRPr="003665A3" w14:paraId="427BE34E" w14:textId="77777777" w:rsidTr="00AA2DEC">
        <w:trPr>
          <w:trHeight w:val="300"/>
        </w:trPr>
        <w:tc>
          <w:tcPr>
            <w:tcW w:w="2089" w:type="dxa"/>
            <w:noWrap/>
          </w:tcPr>
          <w:p w14:paraId="6F0B9923" w14:textId="5994F8E2" w:rsidR="003119E4" w:rsidRPr="003665A3" w:rsidRDefault="00AA2DEC" w:rsidP="007361BB">
            <w:pPr>
              <w:spacing w:afterLines="60" w:after="144"/>
              <w:rPr>
                <w:sz w:val="20"/>
              </w:rPr>
            </w:pPr>
            <w:r w:rsidRPr="003665A3">
              <w:rPr>
                <w:sz w:val="20"/>
              </w:rPr>
              <w:t>Date</w:t>
            </w:r>
          </w:p>
        </w:tc>
        <w:tc>
          <w:tcPr>
            <w:tcW w:w="1682" w:type="dxa"/>
          </w:tcPr>
          <w:p w14:paraId="2AFEB473" w14:textId="69B65B3B" w:rsidR="003119E4" w:rsidRPr="003665A3" w:rsidRDefault="00FC5ED6" w:rsidP="007361BB">
            <w:pPr>
              <w:spacing w:afterLines="60" w:after="144"/>
              <w:rPr>
                <w:sz w:val="20"/>
              </w:rPr>
            </w:pPr>
            <w:r w:rsidRPr="003665A3">
              <w:rPr>
                <w:sz w:val="20"/>
              </w:rPr>
              <w:t xml:space="preserve">Date of </w:t>
            </w:r>
            <w:r w:rsidR="00746F84" w:rsidRPr="003665A3">
              <w:rPr>
                <w:sz w:val="20"/>
              </w:rPr>
              <w:t>measurement collection</w:t>
            </w:r>
          </w:p>
        </w:tc>
        <w:tc>
          <w:tcPr>
            <w:tcW w:w="1164" w:type="dxa"/>
          </w:tcPr>
          <w:p w14:paraId="085D6670" w14:textId="26E8AA90" w:rsidR="003119E4" w:rsidRPr="003665A3" w:rsidRDefault="006B06C3" w:rsidP="007361BB">
            <w:pPr>
              <w:spacing w:afterLines="60" w:after="144"/>
              <w:rPr>
                <w:sz w:val="20"/>
              </w:rPr>
            </w:pPr>
            <w:r w:rsidRPr="003665A3">
              <w:rPr>
                <w:sz w:val="20"/>
              </w:rPr>
              <w:t>NA</w:t>
            </w:r>
          </w:p>
        </w:tc>
        <w:tc>
          <w:tcPr>
            <w:tcW w:w="1888" w:type="dxa"/>
          </w:tcPr>
          <w:p w14:paraId="022F952F" w14:textId="6BE36C0C" w:rsidR="003119E4" w:rsidRPr="003665A3" w:rsidRDefault="00746F84" w:rsidP="007361BB">
            <w:pPr>
              <w:spacing w:afterLines="60" w:after="144"/>
              <w:rPr>
                <w:sz w:val="20"/>
              </w:rPr>
            </w:pPr>
            <w:r w:rsidRPr="003665A3">
              <w:rPr>
                <w:sz w:val="20"/>
              </w:rPr>
              <w:t>NA</w:t>
            </w:r>
          </w:p>
        </w:tc>
        <w:tc>
          <w:tcPr>
            <w:tcW w:w="1228" w:type="dxa"/>
          </w:tcPr>
          <w:p w14:paraId="767ACBEA" w14:textId="262A592C" w:rsidR="003119E4" w:rsidRPr="003665A3" w:rsidRDefault="00746F84" w:rsidP="007361BB">
            <w:pPr>
              <w:spacing w:afterLines="60" w:after="144"/>
              <w:rPr>
                <w:sz w:val="20"/>
              </w:rPr>
            </w:pPr>
            <w:r w:rsidRPr="003665A3">
              <w:rPr>
                <w:sz w:val="20"/>
              </w:rPr>
              <w:t>M/DD/YY; Pacific Time Zone</w:t>
            </w:r>
          </w:p>
        </w:tc>
        <w:tc>
          <w:tcPr>
            <w:tcW w:w="1147" w:type="dxa"/>
          </w:tcPr>
          <w:p w14:paraId="5FEDD7C7" w14:textId="50F11B40" w:rsidR="003119E4" w:rsidRPr="003665A3" w:rsidRDefault="00746F84" w:rsidP="007361BB">
            <w:pPr>
              <w:spacing w:afterLines="60" w:after="144"/>
              <w:rPr>
                <w:sz w:val="20"/>
              </w:rPr>
            </w:pPr>
            <w:r w:rsidRPr="003665A3">
              <w:rPr>
                <w:sz w:val="20"/>
              </w:rPr>
              <w:t>NA</w:t>
            </w:r>
          </w:p>
        </w:tc>
      </w:tr>
      <w:tr w:rsidR="003119E4" w:rsidRPr="003665A3" w14:paraId="4290FC48" w14:textId="77777777" w:rsidTr="00AA2DEC">
        <w:trPr>
          <w:trHeight w:val="300"/>
        </w:trPr>
        <w:tc>
          <w:tcPr>
            <w:tcW w:w="2089" w:type="dxa"/>
            <w:noWrap/>
          </w:tcPr>
          <w:p w14:paraId="25CC0466" w14:textId="4D311430" w:rsidR="003119E4" w:rsidRPr="003665A3" w:rsidRDefault="00AA2DEC" w:rsidP="007361BB">
            <w:pPr>
              <w:spacing w:afterLines="60" w:after="144"/>
              <w:rPr>
                <w:sz w:val="20"/>
              </w:rPr>
            </w:pPr>
            <w:r w:rsidRPr="003665A3">
              <w:rPr>
                <w:sz w:val="20"/>
              </w:rPr>
              <w:t>Treatment</w:t>
            </w:r>
          </w:p>
        </w:tc>
        <w:tc>
          <w:tcPr>
            <w:tcW w:w="1682" w:type="dxa"/>
          </w:tcPr>
          <w:p w14:paraId="1ED18776" w14:textId="593943ED" w:rsidR="003119E4" w:rsidRPr="003665A3" w:rsidRDefault="00746F84" w:rsidP="007361BB">
            <w:pPr>
              <w:spacing w:afterLines="60" w:after="144"/>
              <w:rPr>
                <w:sz w:val="20"/>
              </w:rPr>
            </w:pPr>
            <w:r w:rsidRPr="003665A3">
              <w:rPr>
                <w:sz w:val="20"/>
              </w:rPr>
              <w:t xml:space="preserve">Acclimation treatment (with respect to TGB </w:t>
            </w:r>
            <w:r w:rsidRPr="003665A3">
              <w:rPr>
                <w:sz w:val="20"/>
              </w:rPr>
              <w:lastRenderedPageBreak/>
              <w:t>conditions) and nutrient condition</w:t>
            </w:r>
          </w:p>
        </w:tc>
        <w:tc>
          <w:tcPr>
            <w:tcW w:w="1164" w:type="dxa"/>
          </w:tcPr>
          <w:p w14:paraId="67467B81" w14:textId="0942FDCB" w:rsidR="003119E4" w:rsidRPr="003665A3" w:rsidRDefault="006B06C3" w:rsidP="007361BB">
            <w:pPr>
              <w:spacing w:afterLines="60" w:after="144"/>
              <w:rPr>
                <w:sz w:val="20"/>
              </w:rPr>
            </w:pPr>
            <w:r w:rsidRPr="003665A3">
              <w:rPr>
                <w:sz w:val="20"/>
              </w:rPr>
              <w:lastRenderedPageBreak/>
              <w:t>NA</w:t>
            </w:r>
          </w:p>
        </w:tc>
        <w:tc>
          <w:tcPr>
            <w:tcW w:w="1888" w:type="dxa"/>
          </w:tcPr>
          <w:p w14:paraId="15FCE233" w14:textId="3921B212" w:rsidR="003119E4" w:rsidRPr="003665A3" w:rsidRDefault="00746F84" w:rsidP="007361BB">
            <w:pPr>
              <w:spacing w:afterLines="60" w:after="144"/>
              <w:rPr>
                <w:sz w:val="20"/>
              </w:rPr>
            </w:pPr>
            <w:r w:rsidRPr="003665A3">
              <w:rPr>
                <w:sz w:val="20"/>
              </w:rPr>
              <w:t xml:space="preserve">1-9 representing the 9 distinct temperatures across </w:t>
            </w:r>
            <w:r w:rsidRPr="003665A3">
              <w:rPr>
                <w:sz w:val="20"/>
              </w:rPr>
              <w:lastRenderedPageBreak/>
              <w:t>the TGB from coldest to hottest; normal=replete nutrient condition, low=limited nutrient condition</w:t>
            </w:r>
            <w:r w:rsidR="00FB2443" w:rsidRPr="003665A3">
              <w:rPr>
                <w:sz w:val="20"/>
              </w:rPr>
              <w:t>; other identifiers refer to the known concentrations of standards (controls and calibrators)</w:t>
            </w:r>
          </w:p>
        </w:tc>
        <w:tc>
          <w:tcPr>
            <w:tcW w:w="1228" w:type="dxa"/>
          </w:tcPr>
          <w:p w14:paraId="217E8C4E" w14:textId="6FA1AA47" w:rsidR="003119E4" w:rsidRPr="003665A3" w:rsidRDefault="00746F84" w:rsidP="007361BB">
            <w:pPr>
              <w:spacing w:afterLines="60" w:after="144"/>
              <w:rPr>
                <w:sz w:val="20"/>
              </w:rPr>
            </w:pPr>
            <w:r w:rsidRPr="003665A3">
              <w:rPr>
                <w:sz w:val="20"/>
              </w:rPr>
              <w:lastRenderedPageBreak/>
              <w:t>NA</w:t>
            </w:r>
          </w:p>
        </w:tc>
        <w:tc>
          <w:tcPr>
            <w:tcW w:w="1147" w:type="dxa"/>
          </w:tcPr>
          <w:p w14:paraId="0ED954A5" w14:textId="4BB67605" w:rsidR="003119E4" w:rsidRPr="003665A3" w:rsidRDefault="00746F84" w:rsidP="007361BB">
            <w:pPr>
              <w:spacing w:afterLines="60" w:after="144"/>
              <w:rPr>
                <w:sz w:val="20"/>
              </w:rPr>
            </w:pPr>
            <w:r w:rsidRPr="003665A3">
              <w:rPr>
                <w:sz w:val="20"/>
              </w:rPr>
              <w:t>NA</w:t>
            </w:r>
          </w:p>
        </w:tc>
      </w:tr>
      <w:tr w:rsidR="00746F84" w:rsidRPr="003665A3" w14:paraId="66B7D1E7" w14:textId="77777777" w:rsidTr="00AA2DEC">
        <w:trPr>
          <w:trHeight w:val="300"/>
        </w:trPr>
        <w:tc>
          <w:tcPr>
            <w:tcW w:w="2089" w:type="dxa"/>
            <w:noWrap/>
          </w:tcPr>
          <w:p w14:paraId="4F2B34CA" w14:textId="15E27D7D" w:rsidR="00746F84" w:rsidRPr="003665A3" w:rsidRDefault="00746F84" w:rsidP="00746F84">
            <w:pPr>
              <w:spacing w:afterLines="60" w:after="144"/>
              <w:rPr>
                <w:sz w:val="20"/>
              </w:rPr>
            </w:pPr>
            <w:r w:rsidRPr="003665A3">
              <w:rPr>
                <w:sz w:val="20"/>
              </w:rPr>
              <w:t>Starting_Cond</w:t>
            </w:r>
          </w:p>
        </w:tc>
        <w:tc>
          <w:tcPr>
            <w:tcW w:w="1682" w:type="dxa"/>
          </w:tcPr>
          <w:p w14:paraId="47951308" w14:textId="72A5992D" w:rsidR="00746F84" w:rsidRPr="003665A3" w:rsidRDefault="00746F84" w:rsidP="00746F84">
            <w:pPr>
              <w:spacing w:afterLines="60" w:after="144"/>
              <w:rPr>
                <w:sz w:val="20"/>
              </w:rPr>
            </w:pPr>
            <w:r w:rsidRPr="003665A3">
              <w:rPr>
                <w:sz w:val="20"/>
              </w:rPr>
              <w:t>Discrete acclimation treatment ID’s (with respect to TGB conditions)</w:t>
            </w:r>
          </w:p>
        </w:tc>
        <w:tc>
          <w:tcPr>
            <w:tcW w:w="1164" w:type="dxa"/>
          </w:tcPr>
          <w:p w14:paraId="3D07F817" w14:textId="2986F610" w:rsidR="00746F84" w:rsidRPr="003665A3" w:rsidRDefault="006B06C3" w:rsidP="00746F84">
            <w:pPr>
              <w:spacing w:afterLines="60" w:after="144"/>
              <w:rPr>
                <w:sz w:val="20"/>
              </w:rPr>
            </w:pPr>
            <w:r w:rsidRPr="003665A3">
              <w:rPr>
                <w:sz w:val="20"/>
              </w:rPr>
              <w:t>NA</w:t>
            </w:r>
          </w:p>
        </w:tc>
        <w:tc>
          <w:tcPr>
            <w:tcW w:w="1888" w:type="dxa"/>
          </w:tcPr>
          <w:p w14:paraId="75C5708E" w14:textId="67B5F8DF" w:rsidR="00746F84" w:rsidRPr="003665A3" w:rsidRDefault="00746F84" w:rsidP="00746F84">
            <w:pPr>
              <w:spacing w:afterLines="60" w:after="144"/>
              <w:rPr>
                <w:sz w:val="20"/>
              </w:rPr>
            </w:pPr>
            <w:r w:rsidRPr="003665A3">
              <w:rPr>
                <w:sz w:val="20"/>
              </w:rPr>
              <w:t>1-9 representing the 9 distinct temperatures across the TGB from coldest to hottest.</w:t>
            </w:r>
          </w:p>
        </w:tc>
        <w:tc>
          <w:tcPr>
            <w:tcW w:w="1228" w:type="dxa"/>
          </w:tcPr>
          <w:p w14:paraId="327BEE80" w14:textId="4B197CC5" w:rsidR="00746F84" w:rsidRPr="003665A3" w:rsidRDefault="00746F84" w:rsidP="00746F84">
            <w:pPr>
              <w:spacing w:afterLines="60" w:after="144"/>
              <w:rPr>
                <w:sz w:val="20"/>
              </w:rPr>
            </w:pPr>
            <w:r w:rsidRPr="003665A3">
              <w:rPr>
                <w:sz w:val="20"/>
              </w:rPr>
              <w:t>NA</w:t>
            </w:r>
          </w:p>
        </w:tc>
        <w:tc>
          <w:tcPr>
            <w:tcW w:w="1147" w:type="dxa"/>
          </w:tcPr>
          <w:p w14:paraId="5779622A" w14:textId="0532C0EC" w:rsidR="00746F84" w:rsidRPr="003665A3" w:rsidRDefault="00FB2443" w:rsidP="00746F84">
            <w:pPr>
              <w:spacing w:afterLines="60" w:after="144"/>
              <w:rPr>
                <w:sz w:val="20"/>
              </w:rPr>
            </w:pPr>
            <w:r w:rsidRPr="003665A3">
              <w:rPr>
                <w:sz w:val="20"/>
              </w:rPr>
              <w:t>Not applicable to standards</w:t>
            </w:r>
          </w:p>
        </w:tc>
      </w:tr>
      <w:tr w:rsidR="00746F84" w:rsidRPr="003665A3" w14:paraId="20DA1D28" w14:textId="77777777" w:rsidTr="00AA2DEC">
        <w:trPr>
          <w:trHeight w:val="300"/>
        </w:trPr>
        <w:tc>
          <w:tcPr>
            <w:tcW w:w="2089" w:type="dxa"/>
            <w:noWrap/>
          </w:tcPr>
          <w:p w14:paraId="34FC734B" w14:textId="2A54D151" w:rsidR="00746F84" w:rsidRPr="003665A3" w:rsidRDefault="00746F84" w:rsidP="00746F84">
            <w:pPr>
              <w:spacing w:afterLines="60" w:after="144"/>
              <w:rPr>
                <w:sz w:val="20"/>
              </w:rPr>
            </w:pPr>
            <w:r w:rsidRPr="003665A3">
              <w:rPr>
                <w:sz w:val="20"/>
              </w:rPr>
              <w:t>Acute_temp</w:t>
            </w:r>
          </w:p>
        </w:tc>
        <w:tc>
          <w:tcPr>
            <w:tcW w:w="1682" w:type="dxa"/>
          </w:tcPr>
          <w:p w14:paraId="53DFDF0F" w14:textId="097739A8" w:rsidR="00746F84" w:rsidRPr="003665A3" w:rsidRDefault="00746F84" w:rsidP="00746F84">
            <w:pPr>
              <w:spacing w:afterLines="60" w:after="144"/>
              <w:rPr>
                <w:sz w:val="20"/>
              </w:rPr>
            </w:pPr>
            <w:r w:rsidRPr="003665A3">
              <w:rPr>
                <w:sz w:val="20"/>
              </w:rPr>
              <w:t>Acute temperature setting for duration of experiment</w:t>
            </w:r>
          </w:p>
        </w:tc>
        <w:tc>
          <w:tcPr>
            <w:tcW w:w="1164" w:type="dxa"/>
          </w:tcPr>
          <w:p w14:paraId="4E7D21FB" w14:textId="1201FC8A" w:rsidR="00746F84" w:rsidRPr="003665A3" w:rsidRDefault="00746F84" w:rsidP="00746F84">
            <w:pPr>
              <w:spacing w:afterLines="60" w:after="144"/>
              <w:rPr>
                <w:sz w:val="20"/>
              </w:rPr>
            </w:pPr>
            <w:r w:rsidRPr="003665A3">
              <w:rPr>
                <w:sz w:val="20"/>
              </w:rPr>
              <w:t>Celsius</w:t>
            </w:r>
          </w:p>
        </w:tc>
        <w:tc>
          <w:tcPr>
            <w:tcW w:w="1888" w:type="dxa"/>
          </w:tcPr>
          <w:p w14:paraId="318D8ABA" w14:textId="08DDD001" w:rsidR="00746F84" w:rsidRPr="003665A3" w:rsidRDefault="00746F84" w:rsidP="00746F84">
            <w:pPr>
              <w:spacing w:afterLines="60" w:after="144"/>
              <w:rPr>
                <w:sz w:val="20"/>
              </w:rPr>
            </w:pPr>
            <w:r w:rsidRPr="003665A3">
              <w:rPr>
                <w:sz w:val="20"/>
              </w:rPr>
              <w:t>NA</w:t>
            </w:r>
          </w:p>
        </w:tc>
        <w:tc>
          <w:tcPr>
            <w:tcW w:w="1228" w:type="dxa"/>
          </w:tcPr>
          <w:p w14:paraId="1E0FD4AB" w14:textId="7B6905AD" w:rsidR="00746F84" w:rsidRPr="003665A3" w:rsidRDefault="00746F84" w:rsidP="00746F84">
            <w:pPr>
              <w:spacing w:afterLines="60" w:after="144"/>
              <w:rPr>
                <w:sz w:val="20"/>
              </w:rPr>
            </w:pPr>
            <w:r w:rsidRPr="003665A3">
              <w:rPr>
                <w:sz w:val="20"/>
              </w:rPr>
              <w:t>Rounded to nearest tenth</w:t>
            </w:r>
          </w:p>
        </w:tc>
        <w:tc>
          <w:tcPr>
            <w:tcW w:w="1147" w:type="dxa"/>
          </w:tcPr>
          <w:p w14:paraId="605E6874" w14:textId="1AB4A656" w:rsidR="00746F84" w:rsidRPr="003665A3" w:rsidRDefault="00FB2443" w:rsidP="00746F84">
            <w:pPr>
              <w:spacing w:afterLines="60" w:after="144"/>
              <w:rPr>
                <w:sz w:val="20"/>
              </w:rPr>
            </w:pPr>
            <w:r w:rsidRPr="003665A3">
              <w:rPr>
                <w:sz w:val="20"/>
              </w:rPr>
              <w:t>Not applicable to standards</w:t>
            </w:r>
          </w:p>
        </w:tc>
      </w:tr>
      <w:tr w:rsidR="00746F84" w:rsidRPr="003665A3" w14:paraId="081FEC2A" w14:textId="77777777" w:rsidTr="00AA2DEC">
        <w:trPr>
          <w:trHeight w:val="300"/>
        </w:trPr>
        <w:tc>
          <w:tcPr>
            <w:tcW w:w="2089" w:type="dxa"/>
            <w:noWrap/>
          </w:tcPr>
          <w:p w14:paraId="6A9D5A66" w14:textId="5399CF1D" w:rsidR="00746F84" w:rsidRPr="003665A3" w:rsidRDefault="00746F84" w:rsidP="00746F84">
            <w:pPr>
              <w:spacing w:afterLines="60" w:after="144"/>
              <w:rPr>
                <w:sz w:val="20"/>
              </w:rPr>
            </w:pPr>
            <w:r w:rsidRPr="003665A3">
              <w:rPr>
                <w:sz w:val="20"/>
              </w:rPr>
              <w:t>Nutrients</w:t>
            </w:r>
          </w:p>
        </w:tc>
        <w:tc>
          <w:tcPr>
            <w:tcW w:w="1682" w:type="dxa"/>
          </w:tcPr>
          <w:p w14:paraId="31A1F736" w14:textId="0B565C30" w:rsidR="00746F84" w:rsidRPr="003665A3" w:rsidRDefault="00746F84" w:rsidP="00746F84">
            <w:pPr>
              <w:spacing w:afterLines="60" w:after="144"/>
              <w:rPr>
                <w:sz w:val="20"/>
              </w:rPr>
            </w:pPr>
            <w:r w:rsidRPr="003665A3">
              <w:rPr>
                <w:sz w:val="20"/>
              </w:rPr>
              <w:t>Nutrient condition</w:t>
            </w:r>
          </w:p>
        </w:tc>
        <w:tc>
          <w:tcPr>
            <w:tcW w:w="1164" w:type="dxa"/>
          </w:tcPr>
          <w:p w14:paraId="2D95ABA2" w14:textId="6BE4A822" w:rsidR="00746F84" w:rsidRPr="003665A3" w:rsidRDefault="006B06C3" w:rsidP="00746F84">
            <w:pPr>
              <w:spacing w:afterLines="60" w:after="144"/>
              <w:rPr>
                <w:sz w:val="20"/>
              </w:rPr>
            </w:pPr>
            <w:r w:rsidRPr="003665A3">
              <w:rPr>
                <w:sz w:val="20"/>
              </w:rPr>
              <w:t>NA</w:t>
            </w:r>
          </w:p>
        </w:tc>
        <w:tc>
          <w:tcPr>
            <w:tcW w:w="1888" w:type="dxa"/>
          </w:tcPr>
          <w:p w14:paraId="61E63799" w14:textId="1DBF00E2" w:rsidR="00746F84" w:rsidRPr="003665A3" w:rsidRDefault="00746F84" w:rsidP="00746F84">
            <w:pPr>
              <w:spacing w:afterLines="60" w:after="144"/>
              <w:rPr>
                <w:sz w:val="20"/>
              </w:rPr>
            </w:pPr>
            <w:r w:rsidRPr="003665A3">
              <w:rPr>
                <w:sz w:val="20"/>
              </w:rPr>
              <w:t>Normal=replete nutrient condition, low=limited nutrient condition</w:t>
            </w:r>
            <w:r w:rsidR="00FB2443" w:rsidRPr="003665A3">
              <w:rPr>
                <w:sz w:val="20"/>
              </w:rPr>
              <w:t>, std=standard</w:t>
            </w:r>
          </w:p>
        </w:tc>
        <w:tc>
          <w:tcPr>
            <w:tcW w:w="1228" w:type="dxa"/>
          </w:tcPr>
          <w:p w14:paraId="57EFC8F0" w14:textId="3AF5BD20" w:rsidR="00746F84" w:rsidRPr="003665A3" w:rsidRDefault="00746F84" w:rsidP="00746F84">
            <w:pPr>
              <w:spacing w:afterLines="60" w:after="144"/>
              <w:rPr>
                <w:sz w:val="20"/>
              </w:rPr>
            </w:pPr>
            <w:r w:rsidRPr="003665A3">
              <w:rPr>
                <w:sz w:val="20"/>
              </w:rPr>
              <w:t>NA</w:t>
            </w:r>
          </w:p>
        </w:tc>
        <w:tc>
          <w:tcPr>
            <w:tcW w:w="1147" w:type="dxa"/>
          </w:tcPr>
          <w:p w14:paraId="24FC8FA8" w14:textId="49FB9757" w:rsidR="00746F84" w:rsidRPr="003665A3" w:rsidRDefault="00746F84" w:rsidP="00746F84">
            <w:pPr>
              <w:spacing w:afterLines="60" w:after="144"/>
              <w:rPr>
                <w:sz w:val="20"/>
              </w:rPr>
            </w:pPr>
            <w:r w:rsidRPr="003665A3">
              <w:rPr>
                <w:sz w:val="20"/>
              </w:rPr>
              <w:t>NA</w:t>
            </w:r>
          </w:p>
        </w:tc>
      </w:tr>
      <w:tr w:rsidR="00746F84" w:rsidRPr="003665A3" w14:paraId="60F9C0A4" w14:textId="77777777" w:rsidTr="00AA2DEC">
        <w:trPr>
          <w:trHeight w:val="300"/>
        </w:trPr>
        <w:tc>
          <w:tcPr>
            <w:tcW w:w="2089" w:type="dxa"/>
            <w:noWrap/>
          </w:tcPr>
          <w:p w14:paraId="4BB3A95A" w14:textId="4A545458" w:rsidR="00746F84" w:rsidRPr="003665A3" w:rsidRDefault="00746F84" w:rsidP="00746F84">
            <w:pPr>
              <w:spacing w:afterLines="60" w:after="144"/>
              <w:rPr>
                <w:sz w:val="20"/>
              </w:rPr>
            </w:pPr>
            <w:r w:rsidRPr="003665A3">
              <w:rPr>
                <w:sz w:val="20"/>
              </w:rPr>
              <w:t>Duplicate</w:t>
            </w:r>
          </w:p>
        </w:tc>
        <w:tc>
          <w:tcPr>
            <w:tcW w:w="1682" w:type="dxa"/>
          </w:tcPr>
          <w:p w14:paraId="4674ADF9" w14:textId="05F2C408" w:rsidR="00746F84" w:rsidRPr="003665A3" w:rsidRDefault="00BF552F" w:rsidP="00746F84">
            <w:pPr>
              <w:spacing w:afterLines="60" w:after="144"/>
              <w:rPr>
                <w:sz w:val="20"/>
              </w:rPr>
            </w:pPr>
            <w:r w:rsidRPr="003665A3">
              <w:rPr>
                <w:sz w:val="20"/>
              </w:rPr>
              <w:t>Same sample population (i.e. replicate) split into two duplicate samples</w:t>
            </w:r>
          </w:p>
        </w:tc>
        <w:tc>
          <w:tcPr>
            <w:tcW w:w="1164" w:type="dxa"/>
          </w:tcPr>
          <w:p w14:paraId="0542FFDA" w14:textId="7722B1AB" w:rsidR="00746F84" w:rsidRPr="003665A3" w:rsidRDefault="006B06C3" w:rsidP="00746F84">
            <w:pPr>
              <w:spacing w:afterLines="60" w:after="144"/>
              <w:rPr>
                <w:sz w:val="20"/>
              </w:rPr>
            </w:pPr>
            <w:r w:rsidRPr="003665A3">
              <w:rPr>
                <w:sz w:val="20"/>
              </w:rPr>
              <w:t>NA</w:t>
            </w:r>
          </w:p>
        </w:tc>
        <w:tc>
          <w:tcPr>
            <w:tcW w:w="1888" w:type="dxa"/>
          </w:tcPr>
          <w:p w14:paraId="765E123A" w14:textId="447A0597" w:rsidR="00746F84" w:rsidRPr="003665A3" w:rsidRDefault="00BF552F" w:rsidP="00746F84">
            <w:pPr>
              <w:spacing w:afterLines="60" w:after="144"/>
              <w:rPr>
                <w:sz w:val="20"/>
              </w:rPr>
            </w:pPr>
            <w:r w:rsidRPr="003665A3">
              <w:rPr>
                <w:sz w:val="20"/>
              </w:rPr>
              <w:t>i=1 of 2 duplicates</w:t>
            </w:r>
            <w:r w:rsidR="003767E2" w:rsidRPr="003665A3">
              <w:rPr>
                <w:sz w:val="20"/>
              </w:rPr>
              <w:t xml:space="preserve"> of replicate X</w:t>
            </w:r>
            <w:r w:rsidRPr="003665A3">
              <w:rPr>
                <w:sz w:val="20"/>
              </w:rPr>
              <w:t>, ii=2 of 2 duplicates</w:t>
            </w:r>
            <w:r w:rsidR="003767E2" w:rsidRPr="003665A3">
              <w:rPr>
                <w:sz w:val="20"/>
              </w:rPr>
              <w:t xml:space="preserve"> of replicate X</w:t>
            </w:r>
          </w:p>
        </w:tc>
        <w:tc>
          <w:tcPr>
            <w:tcW w:w="1228" w:type="dxa"/>
          </w:tcPr>
          <w:p w14:paraId="11EE3894" w14:textId="6A399CD9" w:rsidR="00746F84" w:rsidRPr="003665A3" w:rsidRDefault="00BF552F" w:rsidP="00746F84">
            <w:pPr>
              <w:spacing w:afterLines="60" w:after="144"/>
              <w:rPr>
                <w:sz w:val="20"/>
              </w:rPr>
            </w:pPr>
            <w:r w:rsidRPr="003665A3">
              <w:rPr>
                <w:sz w:val="20"/>
              </w:rPr>
              <w:t>NA</w:t>
            </w:r>
          </w:p>
        </w:tc>
        <w:tc>
          <w:tcPr>
            <w:tcW w:w="1147" w:type="dxa"/>
          </w:tcPr>
          <w:p w14:paraId="7AFD42D4" w14:textId="0CC33A37" w:rsidR="00746F84" w:rsidRPr="003665A3" w:rsidRDefault="00BF552F" w:rsidP="00746F84">
            <w:pPr>
              <w:spacing w:afterLines="60" w:after="144"/>
              <w:rPr>
                <w:sz w:val="20"/>
              </w:rPr>
            </w:pPr>
            <w:r w:rsidRPr="003665A3">
              <w:rPr>
                <w:sz w:val="20"/>
              </w:rPr>
              <w:t>NA</w:t>
            </w:r>
          </w:p>
        </w:tc>
      </w:tr>
      <w:tr w:rsidR="00746F84" w:rsidRPr="003665A3" w14:paraId="7CC27AD8" w14:textId="77777777" w:rsidTr="00AA2DEC">
        <w:trPr>
          <w:trHeight w:val="300"/>
        </w:trPr>
        <w:tc>
          <w:tcPr>
            <w:tcW w:w="2089" w:type="dxa"/>
            <w:noWrap/>
          </w:tcPr>
          <w:p w14:paraId="686036B5" w14:textId="35C4FCBB" w:rsidR="00746F84" w:rsidRPr="003665A3" w:rsidRDefault="00746F84" w:rsidP="00746F84">
            <w:pPr>
              <w:spacing w:afterLines="60" w:after="144"/>
              <w:rPr>
                <w:sz w:val="20"/>
              </w:rPr>
            </w:pPr>
            <w:r w:rsidRPr="003665A3">
              <w:rPr>
                <w:sz w:val="20"/>
              </w:rPr>
              <w:t>Replicate</w:t>
            </w:r>
          </w:p>
        </w:tc>
        <w:tc>
          <w:tcPr>
            <w:tcW w:w="1682" w:type="dxa"/>
          </w:tcPr>
          <w:p w14:paraId="4E1FA382" w14:textId="184C2B5E" w:rsidR="00746F84" w:rsidRPr="003665A3" w:rsidRDefault="00BF552F" w:rsidP="00746F84">
            <w:pPr>
              <w:spacing w:afterLines="60" w:after="144"/>
              <w:rPr>
                <w:sz w:val="20"/>
              </w:rPr>
            </w:pPr>
            <w:r w:rsidRPr="003665A3">
              <w:rPr>
                <w:sz w:val="20"/>
              </w:rPr>
              <w:t>Individual replicate populations (each in own test tube)</w:t>
            </w:r>
          </w:p>
        </w:tc>
        <w:tc>
          <w:tcPr>
            <w:tcW w:w="1164" w:type="dxa"/>
          </w:tcPr>
          <w:p w14:paraId="2ED07F54" w14:textId="378425D9" w:rsidR="00746F84" w:rsidRPr="003665A3" w:rsidRDefault="006B06C3" w:rsidP="00746F84">
            <w:pPr>
              <w:spacing w:afterLines="60" w:after="144"/>
              <w:rPr>
                <w:sz w:val="20"/>
              </w:rPr>
            </w:pPr>
            <w:r w:rsidRPr="003665A3">
              <w:rPr>
                <w:sz w:val="20"/>
              </w:rPr>
              <w:t>NA</w:t>
            </w:r>
          </w:p>
        </w:tc>
        <w:tc>
          <w:tcPr>
            <w:tcW w:w="1888" w:type="dxa"/>
          </w:tcPr>
          <w:p w14:paraId="0FB18FD6" w14:textId="6F201C86" w:rsidR="00746F84" w:rsidRPr="003665A3" w:rsidRDefault="00007307" w:rsidP="00746F84">
            <w:pPr>
              <w:spacing w:afterLines="60" w:after="144"/>
              <w:rPr>
                <w:sz w:val="20"/>
              </w:rPr>
            </w:pPr>
            <w:r w:rsidRPr="003665A3">
              <w:rPr>
                <w:sz w:val="20"/>
              </w:rPr>
              <w:t>A-F=6 replicates for specified treatment</w:t>
            </w:r>
          </w:p>
        </w:tc>
        <w:tc>
          <w:tcPr>
            <w:tcW w:w="1228" w:type="dxa"/>
          </w:tcPr>
          <w:p w14:paraId="29E7C1CF" w14:textId="38474556" w:rsidR="00746F84" w:rsidRPr="003665A3" w:rsidRDefault="00007307" w:rsidP="00746F84">
            <w:pPr>
              <w:spacing w:afterLines="60" w:after="144"/>
              <w:rPr>
                <w:sz w:val="20"/>
              </w:rPr>
            </w:pPr>
            <w:r w:rsidRPr="003665A3">
              <w:rPr>
                <w:sz w:val="20"/>
              </w:rPr>
              <w:t>NA</w:t>
            </w:r>
          </w:p>
        </w:tc>
        <w:tc>
          <w:tcPr>
            <w:tcW w:w="1147" w:type="dxa"/>
          </w:tcPr>
          <w:p w14:paraId="3B02FD76" w14:textId="118967E2" w:rsidR="00746F84" w:rsidRPr="003665A3" w:rsidRDefault="00FB2443" w:rsidP="00746F84">
            <w:pPr>
              <w:spacing w:afterLines="60" w:after="144"/>
              <w:rPr>
                <w:sz w:val="20"/>
              </w:rPr>
            </w:pPr>
            <w:r w:rsidRPr="003665A3">
              <w:rPr>
                <w:sz w:val="20"/>
              </w:rPr>
              <w:t>Not applicable to standards</w:t>
            </w:r>
          </w:p>
        </w:tc>
      </w:tr>
      <w:tr w:rsidR="00746F84" w:rsidRPr="003665A3" w14:paraId="22392EC4" w14:textId="77777777" w:rsidTr="00AA2DEC">
        <w:trPr>
          <w:trHeight w:val="300"/>
        </w:trPr>
        <w:tc>
          <w:tcPr>
            <w:tcW w:w="2089" w:type="dxa"/>
            <w:noWrap/>
          </w:tcPr>
          <w:p w14:paraId="4BEFAEA6" w14:textId="2DBE4E7E" w:rsidR="00746F84" w:rsidRPr="003665A3" w:rsidRDefault="00746F84" w:rsidP="00746F84">
            <w:pPr>
              <w:spacing w:afterLines="60" w:after="144"/>
              <w:rPr>
                <w:sz w:val="20"/>
              </w:rPr>
            </w:pPr>
            <w:r w:rsidRPr="003665A3">
              <w:rPr>
                <w:sz w:val="20"/>
              </w:rPr>
              <w:t>Abs_450</w:t>
            </w:r>
          </w:p>
        </w:tc>
        <w:tc>
          <w:tcPr>
            <w:tcW w:w="1682" w:type="dxa"/>
          </w:tcPr>
          <w:p w14:paraId="450BEBA6" w14:textId="723BC411" w:rsidR="00746F84" w:rsidRPr="003665A3" w:rsidRDefault="00A1287C" w:rsidP="00746F84">
            <w:pPr>
              <w:spacing w:afterLines="60" w:after="144"/>
              <w:rPr>
                <w:sz w:val="20"/>
              </w:rPr>
            </w:pPr>
            <w:r w:rsidRPr="003665A3">
              <w:rPr>
                <w:sz w:val="20"/>
              </w:rPr>
              <w:t>Absorbance at 450nm</w:t>
            </w:r>
          </w:p>
        </w:tc>
        <w:tc>
          <w:tcPr>
            <w:tcW w:w="1164" w:type="dxa"/>
          </w:tcPr>
          <w:p w14:paraId="755C14DF" w14:textId="3007CE4E" w:rsidR="00746F84" w:rsidRPr="003665A3" w:rsidRDefault="00FB2443" w:rsidP="00746F84">
            <w:pPr>
              <w:spacing w:afterLines="60" w:after="144"/>
              <w:rPr>
                <w:sz w:val="20"/>
              </w:rPr>
            </w:pPr>
            <w:r w:rsidRPr="003665A3">
              <w:rPr>
                <w:sz w:val="20"/>
              </w:rPr>
              <w:t>NA</w:t>
            </w:r>
          </w:p>
        </w:tc>
        <w:tc>
          <w:tcPr>
            <w:tcW w:w="1888" w:type="dxa"/>
          </w:tcPr>
          <w:p w14:paraId="6899997C" w14:textId="356A4587" w:rsidR="00746F84" w:rsidRPr="003665A3" w:rsidRDefault="00FB2443" w:rsidP="00746F84">
            <w:pPr>
              <w:spacing w:afterLines="60" w:after="144"/>
              <w:rPr>
                <w:sz w:val="20"/>
              </w:rPr>
            </w:pPr>
            <w:r w:rsidRPr="003665A3">
              <w:rPr>
                <w:sz w:val="20"/>
              </w:rPr>
              <w:t>NA</w:t>
            </w:r>
          </w:p>
        </w:tc>
        <w:tc>
          <w:tcPr>
            <w:tcW w:w="1228" w:type="dxa"/>
          </w:tcPr>
          <w:p w14:paraId="67A2083B" w14:textId="40B15395" w:rsidR="00746F84" w:rsidRPr="003665A3" w:rsidRDefault="00FB2443" w:rsidP="00746F84">
            <w:pPr>
              <w:spacing w:afterLines="60" w:after="144"/>
              <w:rPr>
                <w:sz w:val="20"/>
              </w:rPr>
            </w:pPr>
            <w:r w:rsidRPr="003665A3">
              <w:rPr>
                <w:sz w:val="20"/>
              </w:rPr>
              <w:t>NA</w:t>
            </w:r>
          </w:p>
        </w:tc>
        <w:tc>
          <w:tcPr>
            <w:tcW w:w="1147" w:type="dxa"/>
          </w:tcPr>
          <w:p w14:paraId="4E22A5A3" w14:textId="52567DB2" w:rsidR="00746F84" w:rsidRPr="003665A3" w:rsidRDefault="00FB2443" w:rsidP="00746F84">
            <w:pPr>
              <w:spacing w:afterLines="60" w:after="144"/>
              <w:rPr>
                <w:sz w:val="20"/>
              </w:rPr>
            </w:pPr>
            <w:r w:rsidRPr="003665A3">
              <w:rPr>
                <w:sz w:val="20"/>
              </w:rPr>
              <w:t>NA</w:t>
            </w:r>
          </w:p>
        </w:tc>
      </w:tr>
      <w:tr w:rsidR="00746F84" w:rsidRPr="003665A3" w14:paraId="289CBFFB" w14:textId="77777777" w:rsidTr="00AA2DEC">
        <w:trPr>
          <w:trHeight w:val="300"/>
        </w:trPr>
        <w:tc>
          <w:tcPr>
            <w:tcW w:w="2089" w:type="dxa"/>
            <w:noWrap/>
          </w:tcPr>
          <w:p w14:paraId="06C3D2CC" w14:textId="50CDAA9D" w:rsidR="00746F84" w:rsidRPr="003665A3" w:rsidRDefault="00746F84" w:rsidP="00746F84">
            <w:pPr>
              <w:spacing w:afterLines="60" w:after="144"/>
              <w:rPr>
                <w:sz w:val="20"/>
              </w:rPr>
            </w:pPr>
            <w:r w:rsidRPr="003665A3">
              <w:rPr>
                <w:sz w:val="20"/>
              </w:rPr>
              <w:t>Conc</w:t>
            </w:r>
          </w:p>
        </w:tc>
        <w:tc>
          <w:tcPr>
            <w:tcW w:w="1682" w:type="dxa"/>
          </w:tcPr>
          <w:p w14:paraId="217A9B6D" w14:textId="6934FBAF" w:rsidR="00746F84" w:rsidRPr="003665A3" w:rsidRDefault="00FB2443" w:rsidP="00746F84">
            <w:pPr>
              <w:spacing w:afterLines="60" w:after="144"/>
              <w:rPr>
                <w:sz w:val="20"/>
              </w:rPr>
            </w:pPr>
            <w:r w:rsidRPr="003665A3">
              <w:rPr>
                <w:sz w:val="20"/>
              </w:rPr>
              <w:t>Known microcystin concentration</w:t>
            </w:r>
          </w:p>
        </w:tc>
        <w:tc>
          <w:tcPr>
            <w:tcW w:w="1164" w:type="dxa"/>
          </w:tcPr>
          <w:p w14:paraId="77A96ABA" w14:textId="58DAAE96" w:rsidR="00746F84" w:rsidRPr="003665A3" w:rsidRDefault="00FB2443" w:rsidP="00746F84">
            <w:pPr>
              <w:spacing w:afterLines="60" w:after="144"/>
              <w:rPr>
                <w:sz w:val="20"/>
              </w:rPr>
            </w:pPr>
            <w:r w:rsidRPr="003665A3">
              <w:rPr>
                <w:sz w:val="20"/>
              </w:rPr>
              <w:t>ppb</w:t>
            </w:r>
          </w:p>
        </w:tc>
        <w:tc>
          <w:tcPr>
            <w:tcW w:w="1888" w:type="dxa"/>
          </w:tcPr>
          <w:p w14:paraId="3970625F" w14:textId="41E53EA2" w:rsidR="00746F84" w:rsidRPr="003665A3" w:rsidRDefault="00FB2443" w:rsidP="00746F84">
            <w:pPr>
              <w:spacing w:afterLines="60" w:after="144"/>
              <w:rPr>
                <w:sz w:val="20"/>
              </w:rPr>
            </w:pPr>
            <w:r w:rsidRPr="003665A3">
              <w:rPr>
                <w:sz w:val="20"/>
              </w:rPr>
              <w:t>NA</w:t>
            </w:r>
          </w:p>
        </w:tc>
        <w:tc>
          <w:tcPr>
            <w:tcW w:w="1228" w:type="dxa"/>
          </w:tcPr>
          <w:p w14:paraId="277AB9A5" w14:textId="0CC367F8" w:rsidR="00746F84" w:rsidRPr="003665A3" w:rsidRDefault="00FB2443" w:rsidP="00746F84">
            <w:pPr>
              <w:spacing w:afterLines="60" w:after="144"/>
              <w:rPr>
                <w:sz w:val="20"/>
              </w:rPr>
            </w:pPr>
            <w:r w:rsidRPr="003665A3">
              <w:rPr>
                <w:sz w:val="20"/>
              </w:rPr>
              <w:t>NA</w:t>
            </w:r>
          </w:p>
        </w:tc>
        <w:tc>
          <w:tcPr>
            <w:tcW w:w="1147" w:type="dxa"/>
          </w:tcPr>
          <w:p w14:paraId="2A30AE55" w14:textId="500317B2" w:rsidR="00746F84" w:rsidRPr="003665A3" w:rsidRDefault="00FB2443" w:rsidP="00746F84">
            <w:pPr>
              <w:spacing w:afterLines="60" w:after="144"/>
              <w:rPr>
                <w:sz w:val="20"/>
              </w:rPr>
            </w:pPr>
            <w:r w:rsidRPr="003665A3">
              <w:rPr>
                <w:sz w:val="20"/>
              </w:rPr>
              <w:t>Applicable to standards and controls only</w:t>
            </w:r>
          </w:p>
        </w:tc>
      </w:tr>
      <w:tr w:rsidR="00746F84" w:rsidRPr="003665A3" w14:paraId="0D90EB93" w14:textId="77777777" w:rsidTr="00AA2DEC">
        <w:trPr>
          <w:trHeight w:val="300"/>
        </w:trPr>
        <w:tc>
          <w:tcPr>
            <w:tcW w:w="2089" w:type="dxa"/>
            <w:noWrap/>
          </w:tcPr>
          <w:p w14:paraId="207DD681" w14:textId="482EA67B" w:rsidR="00746F84" w:rsidRPr="003665A3" w:rsidRDefault="00746F84" w:rsidP="00746F84">
            <w:pPr>
              <w:spacing w:afterLines="60" w:after="144"/>
              <w:rPr>
                <w:sz w:val="20"/>
              </w:rPr>
            </w:pPr>
            <w:r w:rsidRPr="003665A3">
              <w:rPr>
                <w:sz w:val="20"/>
              </w:rPr>
              <w:t>RFU_raw_Final</w:t>
            </w:r>
          </w:p>
        </w:tc>
        <w:tc>
          <w:tcPr>
            <w:tcW w:w="1682" w:type="dxa"/>
          </w:tcPr>
          <w:p w14:paraId="169ACFEF" w14:textId="5D008DD0" w:rsidR="00746F84" w:rsidRPr="003665A3" w:rsidRDefault="0065115E" w:rsidP="00746F84">
            <w:pPr>
              <w:spacing w:afterLines="60" w:after="144"/>
              <w:rPr>
                <w:sz w:val="20"/>
              </w:rPr>
            </w:pPr>
            <w:r w:rsidRPr="003665A3">
              <w:rPr>
                <w:sz w:val="20"/>
              </w:rPr>
              <w:t>Fluorescence measurements taken at the end of assay</w:t>
            </w:r>
          </w:p>
        </w:tc>
        <w:tc>
          <w:tcPr>
            <w:tcW w:w="1164" w:type="dxa"/>
          </w:tcPr>
          <w:p w14:paraId="4C27B8B9" w14:textId="01796550" w:rsidR="00746F84" w:rsidRPr="003665A3" w:rsidRDefault="0065115E" w:rsidP="00746F84">
            <w:pPr>
              <w:spacing w:afterLines="60" w:after="144"/>
              <w:rPr>
                <w:sz w:val="20"/>
              </w:rPr>
            </w:pPr>
            <w:r w:rsidRPr="003665A3">
              <w:rPr>
                <w:sz w:val="20"/>
              </w:rPr>
              <w:t>Raw Fluorescence Units (RFU)</w:t>
            </w:r>
          </w:p>
        </w:tc>
        <w:tc>
          <w:tcPr>
            <w:tcW w:w="1888" w:type="dxa"/>
          </w:tcPr>
          <w:p w14:paraId="2AE67430" w14:textId="27EED296" w:rsidR="00746F84" w:rsidRPr="003665A3" w:rsidRDefault="0065115E" w:rsidP="00746F84">
            <w:pPr>
              <w:spacing w:afterLines="60" w:after="144"/>
              <w:rPr>
                <w:sz w:val="20"/>
              </w:rPr>
            </w:pPr>
            <w:r w:rsidRPr="003665A3">
              <w:rPr>
                <w:sz w:val="20"/>
              </w:rPr>
              <w:t>NA</w:t>
            </w:r>
          </w:p>
        </w:tc>
        <w:tc>
          <w:tcPr>
            <w:tcW w:w="1228" w:type="dxa"/>
          </w:tcPr>
          <w:p w14:paraId="66042D40" w14:textId="46E27A60" w:rsidR="00746F84" w:rsidRPr="003665A3" w:rsidRDefault="0065115E" w:rsidP="00746F84">
            <w:pPr>
              <w:spacing w:afterLines="60" w:after="144"/>
              <w:rPr>
                <w:sz w:val="20"/>
              </w:rPr>
            </w:pPr>
            <w:r w:rsidRPr="003665A3">
              <w:rPr>
                <w:sz w:val="20"/>
              </w:rPr>
              <w:t>NA</w:t>
            </w:r>
          </w:p>
        </w:tc>
        <w:tc>
          <w:tcPr>
            <w:tcW w:w="1147" w:type="dxa"/>
          </w:tcPr>
          <w:p w14:paraId="4948EBF5" w14:textId="775D5EF2" w:rsidR="00746F84" w:rsidRPr="003665A3" w:rsidRDefault="00FB2443" w:rsidP="00746F84">
            <w:pPr>
              <w:spacing w:afterLines="60" w:after="144"/>
              <w:rPr>
                <w:sz w:val="20"/>
              </w:rPr>
            </w:pPr>
            <w:r w:rsidRPr="003665A3">
              <w:rPr>
                <w:sz w:val="20"/>
              </w:rPr>
              <w:t>Not applicable to standards</w:t>
            </w:r>
          </w:p>
        </w:tc>
      </w:tr>
      <w:tr w:rsidR="00746F84" w:rsidRPr="003665A3" w14:paraId="7E5A0181" w14:textId="77777777" w:rsidTr="00AA2DEC">
        <w:trPr>
          <w:trHeight w:val="300"/>
        </w:trPr>
        <w:tc>
          <w:tcPr>
            <w:tcW w:w="2089" w:type="dxa"/>
            <w:noWrap/>
          </w:tcPr>
          <w:p w14:paraId="0BAA2A84" w14:textId="648DD3E1" w:rsidR="00746F84" w:rsidRPr="003665A3" w:rsidRDefault="00746F84" w:rsidP="00746F84">
            <w:pPr>
              <w:spacing w:afterLines="60" w:after="144"/>
              <w:rPr>
                <w:sz w:val="20"/>
              </w:rPr>
            </w:pPr>
            <w:r w:rsidRPr="003665A3">
              <w:rPr>
                <w:sz w:val="20"/>
              </w:rPr>
              <w:t>RFU_raw_initial</w:t>
            </w:r>
          </w:p>
        </w:tc>
        <w:tc>
          <w:tcPr>
            <w:tcW w:w="1682" w:type="dxa"/>
          </w:tcPr>
          <w:p w14:paraId="1A2DC1B4" w14:textId="499385E5" w:rsidR="00746F84" w:rsidRPr="003665A3" w:rsidRDefault="0065115E" w:rsidP="00746F84">
            <w:pPr>
              <w:spacing w:afterLines="60" w:after="144"/>
              <w:rPr>
                <w:sz w:val="20"/>
              </w:rPr>
            </w:pPr>
            <w:r w:rsidRPr="003665A3">
              <w:rPr>
                <w:sz w:val="20"/>
              </w:rPr>
              <w:t xml:space="preserve">Initial fluorescence measurements taken at assay </w:t>
            </w:r>
            <w:r w:rsidRPr="003665A3">
              <w:rPr>
                <w:sz w:val="20"/>
              </w:rPr>
              <w:lastRenderedPageBreak/>
              <w:t>start (5 days prior)</w:t>
            </w:r>
          </w:p>
        </w:tc>
        <w:tc>
          <w:tcPr>
            <w:tcW w:w="1164" w:type="dxa"/>
          </w:tcPr>
          <w:p w14:paraId="686CCF42" w14:textId="3DED15E5" w:rsidR="00746F84" w:rsidRPr="003665A3" w:rsidRDefault="0065115E" w:rsidP="00746F84">
            <w:pPr>
              <w:spacing w:afterLines="60" w:after="144"/>
              <w:rPr>
                <w:sz w:val="20"/>
              </w:rPr>
            </w:pPr>
            <w:r w:rsidRPr="003665A3">
              <w:rPr>
                <w:sz w:val="20"/>
              </w:rPr>
              <w:lastRenderedPageBreak/>
              <w:t>Raw Fluorescence Units (RFU)</w:t>
            </w:r>
          </w:p>
        </w:tc>
        <w:tc>
          <w:tcPr>
            <w:tcW w:w="1888" w:type="dxa"/>
          </w:tcPr>
          <w:p w14:paraId="31581203" w14:textId="0B5C1DF0" w:rsidR="00746F84" w:rsidRPr="003665A3" w:rsidRDefault="0065115E" w:rsidP="00746F84">
            <w:pPr>
              <w:spacing w:afterLines="60" w:after="144"/>
              <w:rPr>
                <w:sz w:val="20"/>
              </w:rPr>
            </w:pPr>
            <w:r w:rsidRPr="003665A3">
              <w:rPr>
                <w:sz w:val="20"/>
              </w:rPr>
              <w:t>NA</w:t>
            </w:r>
          </w:p>
        </w:tc>
        <w:tc>
          <w:tcPr>
            <w:tcW w:w="1228" w:type="dxa"/>
          </w:tcPr>
          <w:p w14:paraId="1AB7BA4F" w14:textId="0F2BFDBB" w:rsidR="00746F84" w:rsidRPr="003665A3" w:rsidRDefault="0065115E" w:rsidP="00746F84">
            <w:pPr>
              <w:spacing w:afterLines="60" w:after="144"/>
              <w:rPr>
                <w:sz w:val="20"/>
              </w:rPr>
            </w:pPr>
            <w:r w:rsidRPr="003665A3">
              <w:rPr>
                <w:sz w:val="20"/>
              </w:rPr>
              <w:t>NA</w:t>
            </w:r>
          </w:p>
        </w:tc>
        <w:tc>
          <w:tcPr>
            <w:tcW w:w="1147" w:type="dxa"/>
          </w:tcPr>
          <w:p w14:paraId="15732B8A" w14:textId="14F79052" w:rsidR="00746F84" w:rsidRPr="003665A3" w:rsidRDefault="00FB2443" w:rsidP="00746F84">
            <w:pPr>
              <w:spacing w:afterLines="60" w:after="144"/>
              <w:rPr>
                <w:sz w:val="20"/>
              </w:rPr>
            </w:pPr>
            <w:r w:rsidRPr="003665A3">
              <w:rPr>
                <w:sz w:val="20"/>
              </w:rPr>
              <w:t>Not applicable to standards</w:t>
            </w:r>
          </w:p>
        </w:tc>
      </w:tr>
      <w:tr w:rsidR="00746F84" w:rsidRPr="003665A3" w14:paraId="5D0AFF17" w14:textId="77777777" w:rsidTr="00AA2DEC">
        <w:trPr>
          <w:trHeight w:val="300"/>
        </w:trPr>
        <w:tc>
          <w:tcPr>
            <w:tcW w:w="2089" w:type="dxa"/>
            <w:noWrap/>
          </w:tcPr>
          <w:p w14:paraId="5DF8B0CA" w14:textId="1EC0D8C8" w:rsidR="00746F84" w:rsidRPr="003665A3" w:rsidRDefault="00746F84" w:rsidP="00746F84">
            <w:pPr>
              <w:spacing w:afterLines="60" w:after="144"/>
              <w:rPr>
                <w:sz w:val="20"/>
              </w:rPr>
            </w:pPr>
            <w:r w:rsidRPr="003665A3">
              <w:rPr>
                <w:sz w:val="20"/>
              </w:rPr>
              <w:t>Dilution_fact</w:t>
            </w:r>
          </w:p>
        </w:tc>
        <w:tc>
          <w:tcPr>
            <w:tcW w:w="1682" w:type="dxa"/>
          </w:tcPr>
          <w:p w14:paraId="28A32A33" w14:textId="64E082D9" w:rsidR="00746F84" w:rsidRPr="003665A3" w:rsidRDefault="00902085" w:rsidP="00746F84">
            <w:pPr>
              <w:spacing w:afterLines="60" w:after="144"/>
              <w:rPr>
                <w:sz w:val="20"/>
              </w:rPr>
            </w:pPr>
            <w:r w:rsidRPr="003665A3">
              <w:rPr>
                <w:sz w:val="20"/>
              </w:rPr>
              <w:t>Fraction to which samples were diluted</w:t>
            </w:r>
          </w:p>
        </w:tc>
        <w:tc>
          <w:tcPr>
            <w:tcW w:w="1164" w:type="dxa"/>
          </w:tcPr>
          <w:p w14:paraId="1696A0D3" w14:textId="112B5717" w:rsidR="00746F84" w:rsidRPr="003665A3" w:rsidRDefault="007A3994" w:rsidP="00746F84">
            <w:pPr>
              <w:spacing w:afterLines="60" w:after="144"/>
              <w:rPr>
                <w:sz w:val="20"/>
              </w:rPr>
            </w:pPr>
            <w:r w:rsidRPr="003665A3">
              <w:rPr>
                <w:sz w:val="20"/>
              </w:rPr>
              <w:t>NA</w:t>
            </w:r>
          </w:p>
        </w:tc>
        <w:tc>
          <w:tcPr>
            <w:tcW w:w="1888" w:type="dxa"/>
          </w:tcPr>
          <w:p w14:paraId="2BA47E45" w14:textId="3B6DFEA9" w:rsidR="00746F84" w:rsidRPr="003665A3" w:rsidRDefault="007A3994" w:rsidP="00746F84">
            <w:pPr>
              <w:spacing w:afterLines="60" w:after="144"/>
              <w:rPr>
                <w:sz w:val="20"/>
              </w:rPr>
            </w:pPr>
            <w:r w:rsidRPr="003665A3">
              <w:rPr>
                <w:sz w:val="20"/>
              </w:rPr>
              <w:t>NA</w:t>
            </w:r>
          </w:p>
        </w:tc>
        <w:tc>
          <w:tcPr>
            <w:tcW w:w="1228" w:type="dxa"/>
          </w:tcPr>
          <w:p w14:paraId="608CD8B5" w14:textId="010C076A" w:rsidR="00746F84" w:rsidRPr="003665A3" w:rsidRDefault="007A3994" w:rsidP="00746F84">
            <w:pPr>
              <w:spacing w:afterLines="60" w:after="144"/>
              <w:rPr>
                <w:sz w:val="20"/>
              </w:rPr>
            </w:pPr>
            <w:r w:rsidRPr="003665A3">
              <w:rPr>
                <w:sz w:val="20"/>
              </w:rPr>
              <w:t>NA</w:t>
            </w:r>
          </w:p>
        </w:tc>
        <w:tc>
          <w:tcPr>
            <w:tcW w:w="1147" w:type="dxa"/>
          </w:tcPr>
          <w:p w14:paraId="16628813" w14:textId="55C4CBBA" w:rsidR="00746F84" w:rsidRPr="003665A3" w:rsidRDefault="00FB2443" w:rsidP="00746F84">
            <w:pPr>
              <w:spacing w:afterLines="60" w:after="144"/>
              <w:rPr>
                <w:sz w:val="20"/>
              </w:rPr>
            </w:pPr>
            <w:r w:rsidRPr="003665A3">
              <w:rPr>
                <w:sz w:val="20"/>
              </w:rPr>
              <w:t>Not applicable to standards</w:t>
            </w:r>
          </w:p>
        </w:tc>
      </w:tr>
    </w:tbl>
    <w:p w14:paraId="3DECED1F" w14:textId="77777777" w:rsidR="003119E4" w:rsidRPr="003665A3" w:rsidRDefault="003119E4" w:rsidP="008846B8">
      <w:pPr>
        <w:tabs>
          <w:tab w:val="left" w:pos="7710"/>
        </w:tabs>
        <w:spacing w:afterLines="60" w:after="144"/>
        <w:rPr>
          <w:b/>
          <w:color w:val="4F81BD" w:themeColor="accent1"/>
          <w:sz w:val="28"/>
        </w:rPr>
      </w:pPr>
    </w:p>
    <w:p w14:paraId="2644C940" w14:textId="13D31C2C" w:rsidR="001033D4" w:rsidRPr="003665A3" w:rsidRDefault="00CA274F" w:rsidP="008846B8">
      <w:pPr>
        <w:tabs>
          <w:tab w:val="left" w:pos="7710"/>
        </w:tabs>
        <w:spacing w:afterLines="60" w:after="144"/>
        <w:rPr>
          <w:i/>
          <w:color w:val="4F81BD" w:themeColor="accent1"/>
          <w:sz w:val="28"/>
        </w:rPr>
      </w:pPr>
      <w:r w:rsidRPr="003665A3">
        <w:rPr>
          <w:b/>
          <w:color w:val="4F81BD" w:themeColor="accent1"/>
          <w:sz w:val="28"/>
        </w:rPr>
        <w:t xml:space="preserve">Table 3. </w:t>
      </w:r>
      <w:r w:rsidR="001033D4" w:rsidRPr="003665A3">
        <w:rPr>
          <w:b/>
          <w:color w:val="4F81BD" w:themeColor="accent1"/>
          <w:sz w:val="28"/>
        </w:rPr>
        <w:t>Data provenance</w:t>
      </w:r>
      <w:r w:rsidR="00891B96" w:rsidRPr="003665A3">
        <w:rPr>
          <w:b/>
          <w:color w:val="4F81BD" w:themeColor="accent1"/>
          <w:sz w:val="28"/>
        </w:rPr>
        <w:t xml:space="preserve"> - NA</w:t>
      </w:r>
    </w:p>
    <w:p w14:paraId="37E95BDD" w14:textId="77777777" w:rsidR="001033D4" w:rsidRPr="003665A3" w:rsidRDefault="001033D4" w:rsidP="008846B8">
      <w:pPr>
        <w:tabs>
          <w:tab w:val="left" w:pos="7710"/>
        </w:tabs>
        <w:spacing w:afterLines="60" w:after="144"/>
      </w:pPr>
      <w:r w:rsidRPr="003665A3">
        <w:t>If you used data derived from other sources, provide the information here so future users know where the data came from.</w:t>
      </w:r>
    </w:p>
    <w:tbl>
      <w:tblPr>
        <w:tblStyle w:val="TableGrid"/>
        <w:tblW w:w="9198" w:type="dxa"/>
        <w:tblInd w:w="378" w:type="dxa"/>
        <w:tblLook w:val="04A0" w:firstRow="1" w:lastRow="0" w:firstColumn="1" w:lastColumn="0" w:noHBand="0" w:noVBand="1"/>
      </w:tblPr>
      <w:tblGrid>
        <w:gridCol w:w="2700"/>
        <w:gridCol w:w="2621"/>
        <w:gridCol w:w="2037"/>
        <w:gridCol w:w="1840"/>
      </w:tblGrid>
      <w:tr w:rsidR="00CA274F" w:rsidRPr="003665A3" w14:paraId="3209B30B" w14:textId="77777777" w:rsidTr="00CA274F">
        <w:trPr>
          <w:trHeight w:val="315"/>
        </w:trPr>
        <w:tc>
          <w:tcPr>
            <w:tcW w:w="2700" w:type="dxa"/>
            <w:noWrap/>
            <w:hideMark/>
          </w:tcPr>
          <w:p w14:paraId="0E760F4B" w14:textId="77777777" w:rsidR="00CA274F" w:rsidRPr="003665A3" w:rsidRDefault="00CA274F" w:rsidP="008846B8">
            <w:pPr>
              <w:spacing w:afterLines="60" w:after="144"/>
              <w:rPr>
                <w:b/>
                <w:bCs/>
              </w:rPr>
            </w:pPr>
            <w:r w:rsidRPr="003665A3">
              <w:rPr>
                <w:b/>
                <w:bCs/>
              </w:rPr>
              <w:t>Dataset title</w:t>
            </w:r>
          </w:p>
        </w:tc>
        <w:tc>
          <w:tcPr>
            <w:tcW w:w="2621" w:type="dxa"/>
            <w:hideMark/>
          </w:tcPr>
          <w:p w14:paraId="62357A33" w14:textId="77777777" w:rsidR="00CA274F" w:rsidRPr="003665A3" w:rsidRDefault="00CA274F" w:rsidP="008846B8">
            <w:pPr>
              <w:spacing w:afterLines="60" w:after="144"/>
              <w:rPr>
                <w:b/>
                <w:bCs/>
              </w:rPr>
            </w:pPr>
            <w:r w:rsidRPr="003665A3">
              <w:rPr>
                <w:b/>
                <w:bCs/>
              </w:rPr>
              <w:t>Dataset DOI or URL</w:t>
            </w:r>
          </w:p>
        </w:tc>
        <w:tc>
          <w:tcPr>
            <w:tcW w:w="2037" w:type="dxa"/>
          </w:tcPr>
          <w:p w14:paraId="389DDB15" w14:textId="77777777" w:rsidR="00CA274F" w:rsidRPr="003665A3" w:rsidRDefault="00CA274F" w:rsidP="008846B8">
            <w:pPr>
              <w:spacing w:afterLines="60" w:after="144"/>
              <w:rPr>
                <w:b/>
                <w:bCs/>
              </w:rPr>
            </w:pPr>
            <w:r w:rsidRPr="003665A3">
              <w:rPr>
                <w:b/>
                <w:bCs/>
              </w:rPr>
              <w:t>Creator (name &amp; email)</w:t>
            </w:r>
          </w:p>
        </w:tc>
        <w:tc>
          <w:tcPr>
            <w:tcW w:w="1840" w:type="dxa"/>
          </w:tcPr>
          <w:p w14:paraId="1AEA8554" w14:textId="77777777" w:rsidR="00CA274F" w:rsidRPr="003665A3" w:rsidRDefault="00CA274F" w:rsidP="008846B8">
            <w:pPr>
              <w:spacing w:afterLines="60" w:after="144"/>
              <w:rPr>
                <w:b/>
                <w:bCs/>
              </w:rPr>
            </w:pPr>
            <w:r w:rsidRPr="003665A3">
              <w:rPr>
                <w:b/>
                <w:bCs/>
              </w:rPr>
              <w:t>Contact (name &amp; email)</w:t>
            </w:r>
          </w:p>
        </w:tc>
      </w:tr>
      <w:tr w:rsidR="00CA274F" w:rsidRPr="003665A3" w14:paraId="5CF0DF1E" w14:textId="77777777" w:rsidTr="00CA274F">
        <w:trPr>
          <w:trHeight w:val="305"/>
        </w:trPr>
        <w:tc>
          <w:tcPr>
            <w:tcW w:w="2700" w:type="dxa"/>
            <w:noWrap/>
          </w:tcPr>
          <w:p w14:paraId="39268A6F" w14:textId="77777777" w:rsidR="00CA274F" w:rsidRPr="003665A3" w:rsidRDefault="00CA274F" w:rsidP="008846B8">
            <w:pPr>
              <w:spacing w:afterLines="60" w:after="144"/>
              <w:rPr>
                <w:i/>
                <w:sz w:val="20"/>
              </w:rPr>
            </w:pPr>
          </w:p>
        </w:tc>
        <w:tc>
          <w:tcPr>
            <w:tcW w:w="2621" w:type="dxa"/>
          </w:tcPr>
          <w:p w14:paraId="16998B36" w14:textId="77777777" w:rsidR="00CA274F" w:rsidRPr="003665A3" w:rsidRDefault="00CA274F" w:rsidP="008846B8">
            <w:pPr>
              <w:spacing w:afterLines="60" w:after="144"/>
              <w:rPr>
                <w:i/>
                <w:sz w:val="20"/>
              </w:rPr>
            </w:pPr>
          </w:p>
        </w:tc>
        <w:tc>
          <w:tcPr>
            <w:tcW w:w="2037" w:type="dxa"/>
          </w:tcPr>
          <w:p w14:paraId="1B7E43A7" w14:textId="77777777" w:rsidR="00CA274F" w:rsidRPr="003665A3" w:rsidRDefault="00CA274F" w:rsidP="008846B8">
            <w:pPr>
              <w:spacing w:afterLines="60" w:after="144"/>
              <w:rPr>
                <w:i/>
                <w:sz w:val="20"/>
              </w:rPr>
            </w:pPr>
          </w:p>
        </w:tc>
        <w:tc>
          <w:tcPr>
            <w:tcW w:w="1840" w:type="dxa"/>
          </w:tcPr>
          <w:p w14:paraId="55F61783" w14:textId="77777777" w:rsidR="00CA274F" w:rsidRPr="003665A3" w:rsidRDefault="00CA274F" w:rsidP="008846B8">
            <w:pPr>
              <w:spacing w:afterLines="60" w:after="144"/>
              <w:rPr>
                <w:i/>
                <w:sz w:val="20"/>
              </w:rPr>
            </w:pPr>
          </w:p>
        </w:tc>
      </w:tr>
      <w:tr w:rsidR="00CA274F" w:rsidRPr="003665A3" w14:paraId="40E591FD" w14:textId="77777777" w:rsidTr="00CA274F">
        <w:trPr>
          <w:trHeight w:val="300"/>
        </w:trPr>
        <w:tc>
          <w:tcPr>
            <w:tcW w:w="2700" w:type="dxa"/>
            <w:noWrap/>
          </w:tcPr>
          <w:p w14:paraId="1FAC7CA2" w14:textId="77777777" w:rsidR="00CA274F" w:rsidRPr="003665A3" w:rsidRDefault="00CA274F" w:rsidP="008846B8">
            <w:pPr>
              <w:spacing w:afterLines="60" w:after="144"/>
              <w:rPr>
                <w:sz w:val="20"/>
              </w:rPr>
            </w:pPr>
          </w:p>
        </w:tc>
        <w:tc>
          <w:tcPr>
            <w:tcW w:w="2621" w:type="dxa"/>
          </w:tcPr>
          <w:p w14:paraId="37361A8F" w14:textId="77777777" w:rsidR="00CA274F" w:rsidRPr="003665A3" w:rsidRDefault="00CA274F" w:rsidP="008846B8">
            <w:pPr>
              <w:spacing w:afterLines="60" w:after="144"/>
              <w:rPr>
                <w:sz w:val="20"/>
              </w:rPr>
            </w:pPr>
          </w:p>
        </w:tc>
        <w:tc>
          <w:tcPr>
            <w:tcW w:w="2037" w:type="dxa"/>
          </w:tcPr>
          <w:p w14:paraId="31A5B345" w14:textId="77777777" w:rsidR="00CA274F" w:rsidRPr="003665A3" w:rsidRDefault="00CA274F" w:rsidP="008846B8">
            <w:pPr>
              <w:spacing w:afterLines="60" w:after="144"/>
              <w:rPr>
                <w:sz w:val="20"/>
              </w:rPr>
            </w:pPr>
          </w:p>
        </w:tc>
        <w:tc>
          <w:tcPr>
            <w:tcW w:w="1840" w:type="dxa"/>
          </w:tcPr>
          <w:p w14:paraId="3CDB374E" w14:textId="77777777" w:rsidR="00CA274F" w:rsidRPr="003665A3" w:rsidRDefault="00CA274F" w:rsidP="008846B8">
            <w:pPr>
              <w:spacing w:afterLines="60" w:after="144"/>
              <w:rPr>
                <w:sz w:val="20"/>
              </w:rPr>
            </w:pPr>
          </w:p>
        </w:tc>
      </w:tr>
    </w:tbl>
    <w:p w14:paraId="421E6AE8" w14:textId="77777777" w:rsidR="001033D4" w:rsidRPr="003665A3" w:rsidRDefault="001033D4" w:rsidP="008846B8">
      <w:pPr>
        <w:tabs>
          <w:tab w:val="left" w:pos="7710"/>
        </w:tabs>
        <w:spacing w:afterLines="60" w:after="144"/>
        <w:rPr>
          <w:b/>
          <w:color w:val="4F81BD" w:themeColor="accent1"/>
          <w:sz w:val="28"/>
        </w:rPr>
      </w:pPr>
    </w:p>
    <w:p w14:paraId="23F81183" w14:textId="77777777" w:rsidR="00CA274F" w:rsidRPr="003665A3" w:rsidRDefault="00CA274F" w:rsidP="008846B8">
      <w:pPr>
        <w:tabs>
          <w:tab w:val="left" w:pos="7710"/>
        </w:tabs>
        <w:spacing w:afterLines="60" w:after="144"/>
        <w:rPr>
          <w:b/>
          <w:color w:val="4F81BD" w:themeColor="accent1"/>
          <w:sz w:val="28"/>
        </w:rPr>
      </w:pPr>
    </w:p>
    <w:p w14:paraId="55DAFF89" w14:textId="12EE9CB1" w:rsidR="008A5C3C" w:rsidRPr="003665A3" w:rsidRDefault="001033D4" w:rsidP="008846B8">
      <w:pPr>
        <w:tabs>
          <w:tab w:val="left" w:pos="7710"/>
        </w:tabs>
        <w:spacing w:afterLines="60" w:after="144"/>
        <w:rPr>
          <w:i/>
          <w:color w:val="4F81BD" w:themeColor="accent1"/>
          <w:sz w:val="28"/>
        </w:rPr>
      </w:pPr>
      <w:r w:rsidRPr="003665A3">
        <w:rPr>
          <w:b/>
          <w:color w:val="4F81BD" w:themeColor="accent1"/>
          <w:sz w:val="28"/>
        </w:rPr>
        <w:t xml:space="preserve">Scripts/code (software) </w:t>
      </w:r>
    </w:p>
    <w:tbl>
      <w:tblPr>
        <w:tblStyle w:val="TableGrid"/>
        <w:tblW w:w="8370" w:type="dxa"/>
        <w:tblInd w:w="378" w:type="dxa"/>
        <w:tblLook w:val="04A0" w:firstRow="1" w:lastRow="0" w:firstColumn="1" w:lastColumn="0" w:noHBand="0" w:noVBand="1"/>
      </w:tblPr>
      <w:tblGrid>
        <w:gridCol w:w="2700"/>
        <w:gridCol w:w="3240"/>
        <w:gridCol w:w="2430"/>
      </w:tblGrid>
      <w:tr w:rsidR="001033D4" w:rsidRPr="003665A3" w14:paraId="730C9D8E" w14:textId="77777777" w:rsidTr="001033D4">
        <w:trPr>
          <w:trHeight w:val="315"/>
        </w:trPr>
        <w:tc>
          <w:tcPr>
            <w:tcW w:w="2700" w:type="dxa"/>
            <w:noWrap/>
            <w:hideMark/>
          </w:tcPr>
          <w:p w14:paraId="4D89FCD1" w14:textId="77777777" w:rsidR="001033D4" w:rsidRPr="003665A3" w:rsidRDefault="001033D4" w:rsidP="008846B8">
            <w:pPr>
              <w:spacing w:afterLines="60" w:after="144"/>
              <w:rPr>
                <w:b/>
                <w:bCs/>
              </w:rPr>
            </w:pPr>
            <w:r w:rsidRPr="003665A3">
              <w:rPr>
                <w:b/>
                <w:bCs/>
              </w:rPr>
              <w:t>File name</w:t>
            </w:r>
          </w:p>
        </w:tc>
        <w:tc>
          <w:tcPr>
            <w:tcW w:w="3240" w:type="dxa"/>
            <w:hideMark/>
          </w:tcPr>
          <w:p w14:paraId="41B4B3CB" w14:textId="77777777" w:rsidR="001033D4" w:rsidRPr="003665A3" w:rsidRDefault="001033D4" w:rsidP="008846B8">
            <w:pPr>
              <w:spacing w:afterLines="60" w:after="144"/>
              <w:rPr>
                <w:b/>
                <w:bCs/>
              </w:rPr>
            </w:pPr>
            <w:r w:rsidRPr="003665A3">
              <w:rPr>
                <w:b/>
                <w:bCs/>
              </w:rPr>
              <w:t>Description</w:t>
            </w:r>
          </w:p>
        </w:tc>
        <w:tc>
          <w:tcPr>
            <w:tcW w:w="2430" w:type="dxa"/>
          </w:tcPr>
          <w:p w14:paraId="4C6252BB" w14:textId="77777777" w:rsidR="001033D4" w:rsidRPr="003665A3" w:rsidRDefault="001033D4" w:rsidP="008846B8">
            <w:pPr>
              <w:spacing w:afterLines="60" w:after="144"/>
              <w:rPr>
                <w:b/>
                <w:bCs/>
              </w:rPr>
            </w:pPr>
            <w:r w:rsidRPr="003665A3">
              <w:rPr>
                <w:b/>
                <w:bCs/>
              </w:rPr>
              <w:t>Scripting language</w:t>
            </w:r>
          </w:p>
        </w:tc>
      </w:tr>
      <w:tr w:rsidR="001033D4" w:rsidRPr="003665A3" w14:paraId="0796DC18" w14:textId="77777777" w:rsidTr="001033D4">
        <w:trPr>
          <w:trHeight w:val="305"/>
        </w:trPr>
        <w:tc>
          <w:tcPr>
            <w:tcW w:w="2700" w:type="dxa"/>
            <w:noWrap/>
          </w:tcPr>
          <w:p w14:paraId="460557AE" w14:textId="50CFBAE2" w:rsidR="001033D4" w:rsidRPr="003665A3" w:rsidRDefault="001A4C1E" w:rsidP="008846B8">
            <w:pPr>
              <w:spacing w:afterLines="60" w:after="144"/>
              <w:rPr>
                <w:sz w:val="20"/>
              </w:rPr>
            </w:pPr>
            <w:r w:rsidRPr="003665A3">
              <w:rPr>
                <w:sz w:val="20"/>
              </w:rPr>
              <w:t>Cyano_TPC_code</w:t>
            </w:r>
          </w:p>
        </w:tc>
        <w:tc>
          <w:tcPr>
            <w:tcW w:w="3240" w:type="dxa"/>
          </w:tcPr>
          <w:p w14:paraId="56019B3B" w14:textId="0DBB10F8" w:rsidR="001033D4" w:rsidRPr="003665A3" w:rsidRDefault="00BC66E8" w:rsidP="008846B8">
            <w:pPr>
              <w:spacing w:afterLines="60" w:after="144"/>
              <w:rPr>
                <w:i/>
                <w:sz w:val="20"/>
                <w:szCs w:val="20"/>
              </w:rPr>
            </w:pPr>
            <w:r w:rsidRPr="003665A3">
              <w:rPr>
                <w:color w:val="000000" w:themeColor="text1"/>
                <w:sz w:val="20"/>
                <w:szCs w:val="20"/>
              </w:rPr>
              <w:t>Generates Thermal Performance Curves (TPCs) for each species in each nutrient condition</w:t>
            </w:r>
          </w:p>
        </w:tc>
        <w:tc>
          <w:tcPr>
            <w:tcW w:w="2430" w:type="dxa"/>
          </w:tcPr>
          <w:p w14:paraId="16AD0B4A" w14:textId="71920510" w:rsidR="001033D4" w:rsidRPr="003665A3" w:rsidRDefault="001A4C1E" w:rsidP="008846B8">
            <w:pPr>
              <w:spacing w:afterLines="60" w:after="144"/>
              <w:rPr>
                <w:sz w:val="20"/>
              </w:rPr>
            </w:pPr>
            <w:r w:rsidRPr="003665A3">
              <w:rPr>
                <w:sz w:val="20"/>
              </w:rPr>
              <w:t>R</w:t>
            </w:r>
          </w:p>
        </w:tc>
      </w:tr>
      <w:tr w:rsidR="001033D4" w:rsidRPr="003665A3" w14:paraId="7005090E" w14:textId="77777777" w:rsidTr="001033D4">
        <w:trPr>
          <w:trHeight w:val="300"/>
        </w:trPr>
        <w:tc>
          <w:tcPr>
            <w:tcW w:w="2700" w:type="dxa"/>
            <w:noWrap/>
          </w:tcPr>
          <w:p w14:paraId="41863FC3" w14:textId="5B77C905" w:rsidR="001033D4" w:rsidRPr="003665A3" w:rsidRDefault="001A4C1E" w:rsidP="008846B8">
            <w:pPr>
              <w:spacing w:afterLines="60" w:after="144"/>
              <w:rPr>
                <w:sz w:val="20"/>
              </w:rPr>
            </w:pPr>
            <w:r w:rsidRPr="003665A3">
              <w:rPr>
                <w:sz w:val="20"/>
              </w:rPr>
              <w:t>Cyano_TPC_stats_code</w:t>
            </w:r>
          </w:p>
        </w:tc>
        <w:tc>
          <w:tcPr>
            <w:tcW w:w="3240" w:type="dxa"/>
          </w:tcPr>
          <w:p w14:paraId="5648FAC6" w14:textId="68B60536" w:rsidR="001033D4" w:rsidRPr="003665A3" w:rsidRDefault="00BC66E8" w:rsidP="008846B8">
            <w:pPr>
              <w:spacing w:afterLines="60" w:after="144"/>
              <w:rPr>
                <w:sz w:val="20"/>
              </w:rPr>
            </w:pPr>
            <w:r w:rsidRPr="003665A3">
              <w:rPr>
                <w:sz w:val="20"/>
              </w:rPr>
              <w:t>Statistical analyses of TPCs</w:t>
            </w:r>
          </w:p>
        </w:tc>
        <w:tc>
          <w:tcPr>
            <w:tcW w:w="2430" w:type="dxa"/>
          </w:tcPr>
          <w:p w14:paraId="48C95D17" w14:textId="09D93658" w:rsidR="001033D4" w:rsidRPr="003665A3" w:rsidRDefault="001A4C1E" w:rsidP="008846B8">
            <w:pPr>
              <w:spacing w:afterLines="60" w:after="144"/>
              <w:rPr>
                <w:sz w:val="20"/>
              </w:rPr>
            </w:pPr>
            <w:r w:rsidRPr="003665A3">
              <w:rPr>
                <w:sz w:val="20"/>
              </w:rPr>
              <w:t>R</w:t>
            </w:r>
          </w:p>
        </w:tc>
      </w:tr>
      <w:tr w:rsidR="001A4C1E" w:rsidRPr="003665A3" w14:paraId="38534396" w14:textId="77777777" w:rsidTr="001033D4">
        <w:trPr>
          <w:trHeight w:val="300"/>
        </w:trPr>
        <w:tc>
          <w:tcPr>
            <w:tcW w:w="2700" w:type="dxa"/>
            <w:noWrap/>
          </w:tcPr>
          <w:p w14:paraId="1D43A2CB" w14:textId="7B35B7BE" w:rsidR="001A4C1E" w:rsidRPr="003665A3" w:rsidRDefault="001A4C1E" w:rsidP="008846B8">
            <w:pPr>
              <w:spacing w:afterLines="60" w:after="144"/>
              <w:rPr>
                <w:sz w:val="20"/>
              </w:rPr>
            </w:pPr>
            <w:r w:rsidRPr="003665A3">
              <w:rPr>
                <w:sz w:val="20"/>
              </w:rPr>
              <w:t>Cyano_toxins_code</w:t>
            </w:r>
          </w:p>
        </w:tc>
        <w:tc>
          <w:tcPr>
            <w:tcW w:w="3240" w:type="dxa"/>
          </w:tcPr>
          <w:p w14:paraId="46C8FC12" w14:textId="7037E2AA" w:rsidR="001A4C1E" w:rsidRPr="003665A3" w:rsidRDefault="00E60549" w:rsidP="008846B8">
            <w:pPr>
              <w:spacing w:afterLines="60" w:after="144"/>
              <w:rPr>
                <w:sz w:val="20"/>
                <w:szCs w:val="20"/>
              </w:rPr>
            </w:pPr>
            <w:r w:rsidRPr="003665A3">
              <w:rPr>
                <w:color w:val="000000" w:themeColor="text1"/>
                <w:sz w:val="20"/>
                <w:szCs w:val="20"/>
              </w:rPr>
              <w:t xml:space="preserve">Calculates toxin production for </w:t>
            </w:r>
            <w:r w:rsidRPr="003665A3">
              <w:rPr>
                <w:i/>
                <w:color w:val="000000" w:themeColor="text1"/>
                <w:sz w:val="20"/>
                <w:szCs w:val="20"/>
              </w:rPr>
              <w:t>M. aeruginosa</w:t>
            </w:r>
            <w:r w:rsidRPr="003665A3">
              <w:rPr>
                <w:color w:val="000000" w:themeColor="text1"/>
                <w:sz w:val="20"/>
                <w:szCs w:val="20"/>
              </w:rPr>
              <w:t xml:space="preserve"> (toxic), compares growth rates and toxin production for this species, and includes statistical analyses</w:t>
            </w:r>
          </w:p>
        </w:tc>
        <w:tc>
          <w:tcPr>
            <w:tcW w:w="2430" w:type="dxa"/>
          </w:tcPr>
          <w:p w14:paraId="277B17F8" w14:textId="6D5497B3" w:rsidR="001A4C1E" w:rsidRPr="003665A3" w:rsidRDefault="001A4C1E" w:rsidP="008846B8">
            <w:pPr>
              <w:spacing w:afterLines="60" w:after="144"/>
              <w:rPr>
                <w:sz w:val="20"/>
              </w:rPr>
            </w:pPr>
            <w:r w:rsidRPr="003665A3">
              <w:rPr>
                <w:sz w:val="20"/>
              </w:rPr>
              <w:t>R</w:t>
            </w:r>
          </w:p>
        </w:tc>
      </w:tr>
    </w:tbl>
    <w:p w14:paraId="0C3945CA" w14:textId="77777777" w:rsidR="001033D4" w:rsidRPr="003665A3" w:rsidRDefault="001033D4" w:rsidP="008846B8">
      <w:pPr>
        <w:tabs>
          <w:tab w:val="left" w:pos="7710"/>
        </w:tabs>
        <w:spacing w:afterLines="60" w:after="144"/>
      </w:pPr>
    </w:p>
    <w:p w14:paraId="0C3718D9" w14:textId="77777777" w:rsidR="00CA274F" w:rsidRPr="003665A3" w:rsidRDefault="00CA274F" w:rsidP="008846B8">
      <w:pPr>
        <w:tabs>
          <w:tab w:val="left" w:pos="7710"/>
        </w:tabs>
        <w:spacing w:afterLines="60" w:after="144"/>
        <w:rPr>
          <w:b/>
          <w:color w:val="4F81BD" w:themeColor="accent1"/>
          <w:sz w:val="28"/>
        </w:rPr>
      </w:pPr>
      <w:r w:rsidRPr="003665A3">
        <w:rPr>
          <w:b/>
          <w:color w:val="4F81BD" w:themeColor="accent1"/>
          <w:sz w:val="28"/>
        </w:rPr>
        <w:t>Notes and Comments:</w:t>
      </w:r>
    </w:p>
    <w:p w14:paraId="38C0F4BB" w14:textId="77777777" w:rsidR="001033D4" w:rsidRPr="003665A3" w:rsidRDefault="001033D4" w:rsidP="008846B8">
      <w:pPr>
        <w:tabs>
          <w:tab w:val="left" w:pos="7710"/>
        </w:tabs>
        <w:spacing w:afterLines="60" w:after="144"/>
        <w:rPr>
          <w:i/>
          <w:color w:val="000000" w:themeColor="text1"/>
        </w:rPr>
      </w:pPr>
    </w:p>
    <w:p w14:paraId="5D7970BD" w14:textId="77777777" w:rsidR="001033D4" w:rsidRPr="003665A3" w:rsidRDefault="001033D4" w:rsidP="008846B8">
      <w:pPr>
        <w:tabs>
          <w:tab w:val="left" w:pos="2160"/>
        </w:tabs>
        <w:spacing w:afterLines="60" w:after="144"/>
      </w:pPr>
      <w:r w:rsidRPr="003665A3">
        <w:tab/>
      </w:r>
    </w:p>
    <w:sectPr w:rsidR="001033D4" w:rsidRPr="003665A3" w:rsidSect="00FC53DF">
      <w:footerReference w:type="default" r:id="rId9"/>
      <w:headerReference w:type="first" r:id="rId10"/>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91223" w14:textId="77777777" w:rsidR="002032A6" w:rsidRDefault="002032A6" w:rsidP="00B337A9">
      <w:r>
        <w:separator/>
      </w:r>
    </w:p>
  </w:endnote>
  <w:endnote w:type="continuationSeparator" w:id="0">
    <w:p w14:paraId="15F01AC4" w14:textId="77777777" w:rsidR="002032A6" w:rsidRDefault="002032A6" w:rsidP="00B3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5B99" w14:textId="77777777" w:rsidR="007361BB" w:rsidRPr="008D563A" w:rsidRDefault="007361BB">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Pr>
        <w:i/>
        <w:color w:val="4F81BD" w:themeColor="accent1"/>
      </w:rPr>
      <w:t xml:space="preserve">&amp;O: </w:t>
    </w:r>
    <w:r w:rsidRPr="008D563A">
      <w:rPr>
        <w:i/>
        <w:color w:val="4F81BD" w:themeColor="accent1"/>
      </w:rPr>
      <w:t>Letters</w:t>
    </w:r>
    <w:r w:rsidRPr="008D563A">
      <w:rPr>
        <w:i/>
        <w:color w:val="4F81BD" w:themeColor="accent1"/>
      </w:rPr>
      <w:tab/>
    </w:r>
    <w:r w:rsidRPr="008D563A">
      <w:rPr>
        <w:i/>
        <w:color w:val="4F81BD" w:themeColor="accent1"/>
      </w:rPr>
      <w:tab/>
      <w:t xml:space="preserve">Updated 3/5/2019                  </w:t>
    </w:r>
    <w:r w:rsidRPr="008D563A">
      <w:rPr>
        <w:i/>
        <w:color w:val="4F81BD" w:themeColor="accent1"/>
      </w:rPr>
      <w:fldChar w:fldCharType="begin"/>
    </w:r>
    <w:r w:rsidRPr="008D563A">
      <w:rPr>
        <w:i/>
        <w:color w:val="4F81BD" w:themeColor="accent1"/>
      </w:rPr>
      <w:instrText xml:space="preserve"> PAGE   \* MERGEFORMAT </w:instrText>
    </w:r>
    <w:r w:rsidRPr="008D563A">
      <w:rPr>
        <w:i/>
        <w:color w:val="4F81BD" w:themeColor="accent1"/>
      </w:rPr>
      <w:fldChar w:fldCharType="separate"/>
    </w:r>
    <w:r w:rsidRPr="008D563A">
      <w:rPr>
        <w:i/>
        <w:noProof/>
        <w:color w:val="4F81BD" w:themeColor="accent1"/>
      </w:rPr>
      <w:t>2</w:t>
    </w:r>
    <w:r w:rsidRPr="008D563A">
      <w:rPr>
        <w:i/>
        <w:color w:val="4F81BD" w:themeColor="accent1"/>
      </w:rPr>
      <w:fldChar w:fldCharType="end"/>
    </w:r>
  </w:p>
  <w:p w14:paraId="6E2CF97C" w14:textId="77777777" w:rsidR="007361BB" w:rsidRDefault="00736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A38F1" w14:textId="77777777" w:rsidR="002032A6" w:rsidRDefault="002032A6" w:rsidP="00B337A9">
      <w:r>
        <w:separator/>
      </w:r>
    </w:p>
  </w:footnote>
  <w:footnote w:type="continuationSeparator" w:id="0">
    <w:p w14:paraId="0BC46503" w14:textId="77777777" w:rsidR="002032A6" w:rsidRDefault="002032A6" w:rsidP="00B33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71873" w14:textId="77777777" w:rsidR="007361BB" w:rsidRDefault="007361BB">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8E"/>
    <w:rsid w:val="00000A9D"/>
    <w:rsid w:val="00007307"/>
    <w:rsid w:val="00015588"/>
    <w:rsid w:val="0001723C"/>
    <w:rsid w:val="000215D8"/>
    <w:rsid w:val="00022658"/>
    <w:rsid w:val="0002394C"/>
    <w:rsid w:val="000241AC"/>
    <w:rsid w:val="00035B72"/>
    <w:rsid w:val="000422AF"/>
    <w:rsid w:val="00053FB7"/>
    <w:rsid w:val="00056F55"/>
    <w:rsid w:val="0006456E"/>
    <w:rsid w:val="0007259F"/>
    <w:rsid w:val="000735C5"/>
    <w:rsid w:val="0009116F"/>
    <w:rsid w:val="000A00D8"/>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35F9"/>
    <w:rsid w:val="00173C92"/>
    <w:rsid w:val="0017567B"/>
    <w:rsid w:val="00176F3C"/>
    <w:rsid w:val="001771E8"/>
    <w:rsid w:val="00183C39"/>
    <w:rsid w:val="00195DEE"/>
    <w:rsid w:val="001970B1"/>
    <w:rsid w:val="001A10E9"/>
    <w:rsid w:val="001A4C1E"/>
    <w:rsid w:val="001D2769"/>
    <w:rsid w:val="001D49E5"/>
    <w:rsid w:val="001E1DB0"/>
    <w:rsid w:val="001F0704"/>
    <w:rsid w:val="002032A6"/>
    <w:rsid w:val="0023289B"/>
    <w:rsid w:val="00241B0B"/>
    <w:rsid w:val="00250C1A"/>
    <w:rsid w:val="002523F3"/>
    <w:rsid w:val="002538D1"/>
    <w:rsid w:val="0025631A"/>
    <w:rsid w:val="0027463E"/>
    <w:rsid w:val="002A2496"/>
    <w:rsid w:val="002B22E5"/>
    <w:rsid w:val="002B3B4B"/>
    <w:rsid w:val="002B5BEA"/>
    <w:rsid w:val="002C2CAD"/>
    <w:rsid w:val="002C6525"/>
    <w:rsid w:val="002D34FA"/>
    <w:rsid w:val="002E0071"/>
    <w:rsid w:val="002E0AFA"/>
    <w:rsid w:val="002E4940"/>
    <w:rsid w:val="002E5326"/>
    <w:rsid w:val="0031064F"/>
    <w:rsid w:val="003112DB"/>
    <w:rsid w:val="003119E4"/>
    <w:rsid w:val="0031329F"/>
    <w:rsid w:val="00317705"/>
    <w:rsid w:val="00330CFD"/>
    <w:rsid w:val="00333459"/>
    <w:rsid w:val="00340DCB"/>
    <w:rsid w:val="00345971"/>
    <w:rsid w:val="00345B23"/>
    <w:rsid w:val="003556D1"/>
    <w:rsid w:val="003665A3"/>
    <w:rsid w:val="00366964"/>
    <w:rsid w:val="00372A4E"/>
    <w:rsid w:val="00376645"/>
    <w:rsid w:val="003767E2"/>
    <w:rsid w:val="00392C83"/>
    <w:rsid w:val="003A236D"/>
    <w:rsid w:val="003A265F"/>
    <w:rsid w:val="003A410F"/>
    <w:rsid w:val="003B3707"/>
    <w:rsid w:val="003B6202"/>
    <w:rsid w:val="003C62DF"/>
    <w:rsid w:val="003D6F1C"/>
    <w:rsid w:val="003E0934"/>
    <w:rsid w:val="003E0FE5"/>
    <w:rsid w:val="003E320E"/>
    <w:rsid w:val="003F277F"/>
    <w:rsid w:val="004023F3"/>
    <w:rsid w:val="00403A82"/>
    <w:rsid w:val="0040717C"/>
    <w:rsid w:val="004078CB"/>
    <w:rsid w:val="00410032"/>
    <w:rsid w:val="00410D18"/>
    <w:rsid w:val="00417561"/>
    <w:rsid w:val="00423961"/>
    <w:rsid w:val="00424821"/>
    <w:rsid w:val="0042677D"/>
    <w:rsid w:val="0043103D"/>
    <w:rsid w:val="00437240"/>
    <w:rsid w:val="0044671E"/>
    <w:rsid w:val="00450C26"/>
    <w:rsid w:val="00466CD5"/>
    <w:rsid w:val="00490857"/>
    <w:rsid w:val="004A51FC"/>
    <w:rsid w:val="004C0EB4"/>
    <w:rsid w:val="004C57C7"/>
    <w:rsid w:val="004D2D20"/>
    <w:rsid w:val="004D4056"/>
    <w:rsid w:val="004F0FE6"/>
    <w:rsid w:val="004F3177"/>
    <w:rsid w:val="004F49F9"/>
    <w:rsid w:val="00503B27"/>
    <w:rsid w:val="00504869"/>
    <w:rsid w:val="005220EF"/>
    <w:rsid w:val="005221DD"/>
    <w:rsid w:val="00526239"/>
    <w:rsid w:val="0053754D"/>
    <w:rsid w:val="0054321D"/>
    <w:rsid w:val="0054755A"/>
    <w:rsid w:val="0055326C"/>
    <w:rsid w:val="00590C9D"/>
    <w:rsid w:val="00595C96"/>
    <w:rsid w:val="005963E2"/>
    <w:rsid w:val="005B34CA"/>
    <w:rsid w:val="005B379E"/>
    <w:rsid w:val="005C7797"/>
    <w:rsid w:val="005D262F"/>
    <w:rsid w:val="005F1C13"/>
    <w:rsid w:val="00604819"/>
    <w:rsid w:val="006214AE"/>
    <w:rsid w:val="006224DE"/>
    <w:rsid w:val="00622DDD"/>
    <w:rsid w:val="00635244"/>
    <w:rsid w:val="00642DCF"/>
    <w:rsid w:val="00642F66"/>
    <w:rsid w:val="00643CE1"/>
    <w:rsid w:val="00647AF0"/>
    <w:rsid w:val="0065006A"/>
    <w:rsid w:val="0065115E"/>
    <w:rsid w:val="006643CB"/>
    <w:rsid w:val="00675A02"/>
    <w:rsid w:val="00677D51"/>
    <w:rsid w:val="00680F0C"/>
    <w:rsid w:val="00681F44"/>
    <w:rsid w:val="0068505F"/>
    <w:rsid w:val="006963F2"/>
    <w:rsid w:val="006A5063"/>
    <w:rsid w:val="006A782F"/>
    <w:rsid w:val="006B06C3"/>
    <w:rsid w:val="006B2499"/>
    <w:rsid w:val="006C2259"/>
    <w:rsid w:val="006C4764"/>
    <w:rsid w:val="006C7930"/>
    <w:rsid w:val="006C7D96"/>
    <w:rsid w:val="006D5502"/>
    <w:rsid w:val="006E767A"/>
    <w:rsid w:val="006F7157"/>
    <w:rsid w:val="00702E9A"/>
    <w:rsid w:val="00707080"/>
    <w:rsid w:val="0071456B"/>
    <w:rsid w:val="00722AA5"/>
    <w:rsid w:val="007238FD"/>
    <w:rsid w:val="00726C4F"/>
    <w:rsid w:val="00734BC6"/>
    <w:rsid w:val="007361BB"/>
    <w:rsid w:val="0073707C"/>
    <w:rsid w:val="007406FA"/>
    <w:rsid w:val="00746F84"/>
    <w:rsid w:val="007472A8"/>
    <w:rsid w:val="007715E3"/>
    <w:rsid w:val="00784285"/>
    <w:rsid w:val="00791D44"/>
    <w:rsid w:val="007A3994"/>
    <w:rsid w:val="007B3D85"/>
    <w:rsid w:val="007C0508"/>
    <w:rsid w:val="007C2BE8"/>
    <w:rsid w:val="007D43CF"/>
    <w:rsid w:val="007D6156"/>
    <w:rsid w:val="007E23D0"/>
    <w:rsid w:val="007E24EB"/>
    <w:rsid w:val="007F37A2"/>
    <w:rsid w:val="007F3B68"/>
    <w:rsid w:val="00804C03"/>
    <w:rsid w:val="00806CC2"/>
    <w:rsid w:val="008225AA"/>
    <w:rsid w:val="00827299"/>
    <w:rsid w:val="00830709"/>
    <w:rsid w:val="00830AF3"/>
    <w:rsid w:val="008414A0"/>
    <w:rsid w:val="00842210"/>
    <w:rsid w:val="008477A9"/>
    <w:rsid w:val="008523D6"/>
    <w:rsid w:val="00856270"/>
    <w:rsid w:val="008615D4"/>
    <w:rsid w:val="0086168E"/>
    <w:rsid w:val="00874D57"/>
    <w:rsid w:val="008808E3"/>
    <w:rsid w:val="008846B8"/>
    <w:rsid w:val="00890BA0"/>
    <w:rsid w:val="00891B96"/>
    <w:rsid w:val="008A391A"/>
    <w:rsid w:val="008A5C3C"/>
    <w:rsid w:val="008C01AC"/>
    <w:rsid w:val="008C40C0"/>
    <w:rsid w:val="008D563A"/>
    <w:rsid w:val="008D5959"/>
    <w:rsid w:val="00902085"/>
    <w:rsid w:val="00902BC6"/>
    <w:rsid w:val="00911C42"/>
    <w:rsid w:val="009222DA"/>
    <w:rsid w:val="0092276B"/>
    <w:rsid w:val="00926181"/>
    <w:rsid w:val="00931AB6"/>
    <w:rsid w:val="00940985"/>
    <w:rsid w:val="00943166"/>
    <w:rsid w:val="00947168"/>
    <w:rsid w:val="00951603"/>
    <w:rsid w:val="009572DD"/>
    <w:rsid w:val="0097750B"/>
    <w:rsid w:val="009A4BD7"/>
    <w:rsid w:val="009A689A"/>
    <w:rsid w:val="009B2675"/>
    <w:rsid w:val="009C52CF"/>
    <w:rsid w:val="009D6656"/>
    <w:rsid w:val="009E0A29"/>
    <w:rsid w:val="009E14F5"/>
    <w:rsid w:val="009E3279"/>
    <w:rsid w:val="009E352C"/>
    <w:rsid w:val="009F0D87"/>
    <w:rsid w:val="009F5111"/>
    <w:rsid w:val="00A013C1"/>
    <w:rsid w:val="00A01B76"/>
    <w:rsid w:val="00A10230"/>
    <w:rsid w:val="00A1287C"/>
    <w:rsid w:val="00A33AAE"/>
    <w:rsid w:val="00A430AC"/>
    <w:rsid w:val="00A45309"/>
    <w:rsid w:val="00A573C5"/>
    <w:rsid w:val="00A644D8"/>
    <w:rsid w:val="00A672DC"/>
    <w:rsid w:val="00A73302"/>
    <w:rsid w:val="00A76AB8"/>
    <w:rsid w:val="00A76EF8"/>
    <w:rsid w:val="00AA0C31"/>
    <w:rsid w:val="00AA2DEC"/>
    <w:rsid w:val="00AA2F67"/>
    <w:rsid w:val="00AA692C"/>
    <w:rsid w:val="00AB6698"/>
    <w:rsid w:val="00AC325B"/>
    <w:rsid w:val="00AD601C"/>
    <w:rsid w:val="00AE300E"/>
    <w:rsid w:val="00AF2330"/>
    <w:rsid w:val="00AF70F6"/>
    <w:rsid w:val="00B13B7F"/>
    <w:rsid w:val="00B15603"/>
    <w:rsid w:val="00B337A9"/>
    <w:rsid w:val="00B347EA"/>
    <w:rsid w:val="00B3624C"/>
    <w:rsid w:val="00B37EE8"/>
    <w:rsid w:val="00B41BC0"/>
    <w:rsid w:val="00B464F5"/>
    <w:rsid w:val="00B95EFF"/>
    <w:rsid w:val="00B9760B"/>
    <w:rsid w:val="00BA052C"/>
    <w:rsid w:val="00BA1409"/>
    <w:rsid w:val="00BA2C06"/>
    <w:rsid w:val="00BA7CBF"/>
    <w:rsid w:val="00BB01C0"/>
    <w:rsid w:val="00BC2C5A"/>
    <w:rsid w:val="00BC5644"/>
    <w:rsid w:val="00BC66E8"/>
    <w:rsid w:val="00BE3E9D"/>
    <w:rsid w:val="00BF381C"/>
    <w:rsid w:val="00BF552F"/>
    <w:rsid w:val="00C0298F"/>
    <w:rsid w:val="00C30A2B"/>
    <w:rsid w:val="00C31813"/>
    <w:rsid w:val="00C37A8E"/>
    <w:rsid w:val="00C42C94"/>
    <w:rsid w:val="00C47FDF"/>
    <w:rsid w:val="00C705B7"/>
    <w:rsid w:val="00C835BC"/>
    <w:rsid w:val="00CA274F"/>
    <w:rsid w:val="00CC7294"/>
    <w:rsid w:val="00CD2216"/>
    <w:rsid w:val="00CE04F6"/>
    <w:rsid w:val="00CE0690"/>
    <w:rsid w:val="00CF4A39"/>
    <w:rsid w:val="00CF5BD3"/>
    <w:rsid w:val="00D0414F"/>
    <w:rsid w:val="00D05F7C"/>
    <w:rsid w:val="00D07006"/>
    <w:rsid w:val="00D23343"/>
    <w:rsid w:val="00D26834"/>
    <w:rsid w:val="00D3601A"/>
    <w:rsid w:val="00D406CF"/>
    <w:rsid w:val="00D45346"/>
    <w:rsid w:val="00D462E2"/>
    <w:rsid w:val="00D513D2"/>
    <w:rsid w:val="00D5386F"/>
    <w:rsid w:val="00D60162"/>
    <w:rsid w:val="00D66BC0"/>
    <w:rsid w:val="00D66D27"/>
    <w:rsid w:val="00D81346"/>
    <w:rsid w:val="00D87E5B"/>
    <w:rsid w:val="00D909EF"/>
    <w:rsid w:val="00D94B26"/>
    <w:rsid w:val="00D95A4B"/>
    <w:rsid w:val="00D960EB"/>
    <w:rsid w:val="00D97802"/>
    <w:rsid w:val="00DA21B7"/>
    <w:rsid w:val="00DA4F29"/>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5A15"/>
    <w:rsid w:val="00E57A30"/>
    <w:rsid w:val="00E60549"/>
    <w:rsid w:val="00E65154"/>
    <w:rsid w:val="00E80155"/>
    <w:rsid w:val="00E801CA"/>
    <w:rsid w:val="00E865A5"/>
    <w:rsid w:val="00EA50A8"/>
    <w:rsid w:val="00EB0053"/>
    <w:rsid w:val="00EB3BC4"/>
    <w:rsid w:val="00EB7C4E"/>
    <w:rsid w:val="00ED4556"/>
    <w:rsid w:val="00EE4048"/>
    <w:rsid w:val="00EF2F16"/>
    <w:rsid w:val="00F02581"/>
    <w:rsid w:val="00F13A69"/>
    <w:rsid w:val="00F237D0"/>
    <w:rsid w:val="00F431DB"/>
    <w:rsid w:val="00F462E5"/>
    <w:rsid w:val="00F5385C"/>
    <w:rsid w:val="00F544A9"/>
    <w:rsid w:val="00F62F0A"/>
    <w:rsid w:val="00F64512"/>
    <w:rsid w:val="00F75070"/>
    <w:rsid w:val="00F931C8"/>
    <w:rsid w:val="00FA3812"/>
    <w:rsid w:val="00FA3E90"/>
    <w:rsid w:val="00FB2443"/>
    <w:rsid w:val="00FB728F"/>
    <w:rsid w:val="00FC1824"/>
    <w:rsid w:val="00FC4283"/>
    <w:rsid w:val="00FC53DF"/>
    <w:rsid w:val="00FC5ED6"/>
    <w:rsid w:val="00FD0476"/>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AD44CE"/>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AFA"/>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pPr>
  </w:style>
  <w:style w:type="character" w:styleId="Emphasis">
    <w:name w:val="Emphasis"/>
    <w:basedOn w:val="DefaultParagraphFont"/>
    <w:uiPriority w:val="20"/>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spacing w:after="200" w:line="276" w:lineRule="auto"/>
    </w:pPr>
    <w:rPr>
      <w:rFonts w:ascii="Calibri" w:hAnsi="Calibri"/>
      <w:sz w:val="22"/>
      <w:szCs w:val="22"/>
    </w:r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spacing w:after="200" w:line="276" w:lineRule="auto"/>
    </w:pPr>
    <w:rPr>
      <w:rFonts w:ascii="Calibri" w:hAnsi="Calibri"/>
      <w:sz w:val="22"/>
      <w:szCs w:val="22"/>
    </w:r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spacing w:after="200" w:line="276" w:lineRule="auto"/>
      <w:ind w:left="720"/>
      <w:contextualSpacing/>
    </w:pPr>
    <w:rPr>
      <w:rFonts w:ascii="Calibri" w:hAnsi="Calibri"/>
      <w:sz w:val="22"/>
      <w:szCs w:val="22"/>
    </w:rPr>
  </w:style>
  <w:style w:type="paragraph" w:styleId="FootnoteText">
    <w:name w:val="footnote text"/>
    <w:basedOn w:val="Normal"/>
    <w:link w:val="FootnoteTextChar"/>
    <w:uiPriority w:val="99"/>
    <w:rsid w:val="008D563A"/>
    <w:rPr>
      <w:rFonts w:ascii="Calibri" w:hAnsi="Calibri"/>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styleId="UnresolvedMention">
    <w:name w:val="Unresolved Mention"/>
    <w:basedOn w:val="DefaultParagraphFont"/>
    <w:uiPriority w:val="99"/>
    <w:semiHidden/>
    <w:unhideWhenUsed/>
    <w:rsid w:val="00FC53DF"/>
    <w:rPr>
      <w:rFonts w:cs="Times New Roman"/>
      <w:color w:val="605E5C"/>
      <w:shd w:val="clear" w:color="auto" w:fill="E1DFDD"/>
    </w:rPr>
  </w:style>
  <w:style w:type="character" w:styleId="CommentReference">
    <w:name w:val="annotation reference"/>
    <w:basedOn w:val="DefaultParagraphFont"/>
    <w:uiPriority w:val="99"/>
    <w:rsid w:val="003A236D"/>
    <w:rPr>
      <w:sz w:val="16"/>
      <w:szCs w:val="16"/>
    </w:rPr>
  </w:style>
  <w:style w:type="paragraph" w:styleId="CommentText">
    <w:name w:val="annotation text"/>
    <w:basedOn w:val="Normal"/>
    <w:link w:val="CommentTextChar"/>
    <w:uiPriority w:val="99"/>
    <w:rsid w:val="003A236D"/>
    <w:pPr>
      <w:spacing w:after="200"/>
    </w:pPr>
    <w:rPr>
      <w:rFonts w:ascii="Calibri" w:hAnsi="Calibri"/>
      <w:sz w:val="20"/>
      <w:szCs w:val="20"/>
    </w:rPr>
  </w:style>
  <w:style w:type="character" w:customStyle="1" w:styleId="CommentTextChar">
    <w:name w:val="Comment Text Char"/>
    <w:basedOn w:val="DefaultParagraphFont"/>
    <w:link w:val="CommentText"/>
    <w:uiPriority w:val="99"/>
    <w:rsid w:val="003A236D"/>
    <w:rPr>
      <w:rFonts w:cs="Times New Roman"/>
    </w:rPr>
  </w:style>
  <w:style w:type="paragraph" w:styleId="CommentSubject">
    <w:name w:val="annotation subject"/>
    <w:basedOn w:val="CommentText"/>
    <w:next w:val="CommentText"/>
    <w:link w:val="CommentSubjectChar"/>
    <w:uiPriority w:val="99"/>
    <w:rsid w:val="003A236D"/>
    <w:rPr>
      <w:b/>
      <w:bCs/>
    </w:rPr>
  </w:style>
  <w:style w:type="character" w:customStyle="1" w:styleId="CommentSubjectChar">
    <w:name w:val="Comment Subject Char"/>
    <w:basedOn w:val="CommentTextChar"/>
    <w:link w:val="CommentSubject"/>
    <w:uiPriority w:val="99"/>
    <w:rsid w:val="003A236D"/>
    <w:rPr>
      <w:rFonts w:cs="Times New Roman"/>
      <w:b/>
      <w:bCs/>
    </w:rPr>
  </w:style>
  <w:style w:type="paragraph" w:styleId="BalloonText">
    <w:name w:val="Balloon Text"/>
    <w:basedOn w:val="Normal"/>
    <w:link w:val="BalloonTextChar"/>
    <w:uiPriority w:val="99"/>
    <w:rsid w:val="003A236D"/>
    <w:rPr>
      <w:sz w:val="18"/>
      <w:szCs w:val="18"/>
    </w:rPr>
  </w:style>
  <w:style w:type="character" w:customStyle="1" w:styleId="BalloonTextChar">
    <w:name w:val="Balloon Text Char"/>
    <w:basedOn w:val="DefaultParagraphFont"/>
    <w:link w:val="BalloonText"/>
    <w:uiPriority w:val="99"/>
    <w:rsid w:val="003A236D"/>
    <w:rPr>
      <w:rFonts w:ascii="Times New Roman" w:hAnsi="Times New Roman" w:cs="Times New Roman"/>
      <w:sz w:val="18"/>
      <w:szCs w:val="18"/>
    </w:rPr>
  </w:style>
  <w:style w:type="character" w:styleId="FollowedHyperlink">
    <w:name w:val="FollowedHyperlink"/>
    <w:basedOn w:val="DefaultParagraphFont"/>
    <w:uiPriority w:val="99"/>
    <w:rsid w:val="003132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42456">
      <w:bodyDiv w:val="1"/>
      <w:marLeft w:val="0"/>
      <w:marRight w:val="0"/>
      <w:marTop w:val="0"/>
      <w:marBottom w:val="0"/>
      <w:divBdr>
        <w:top w:val="none" w:sz="0" w:space="0" w:color="auto"/>
        <w:left w:val="none" w:sz="0" w:space="0" w:color="auto"/>
        <w:bottom w:val="none" w:sz="0" w:space="0" w:color="auto"/>
        <w:right w:val="none" w:sz="0" w:space="0" w:color="auto"/>
      </w:divBdr>
    </w:div>
    <w:div w:id="367950079">
      <w:bodyDiv w:val="1"/>
      <w:marLeft w:val="0"/>
      <w:marRight w:val="0"/>
      <w:marTop w:val="0"/>
      <w:marBottom w:val="0"/>
      <w:divBdr>
        <w:top w:val="none" w:sz="0" w:space="0" w:color="auto"/>
        <w:left w:val="none" w:sz="0" w:space="0" w:color="auto"/>
        <w:bottom w:val="none" w:sz="0" w:space="0" w:color="auto"/>
        <w:right w:val="none" w:sz="0" w:space="0" w:color="auto"/>
      </w:divBdr>
    </w:div>
    <w:div w:id="453866308">
      <w:bodyDiv w:val="1"/>
      <w:marLeft w:val="0"/>
      <w:marRight w:val="0"/>
      <w:marTop w:val="0"/>
      <w:marBottom w:val="0"/>
      <w:divBdr>
        <w:top w:val="none" w:sz="0" w:space="0" w:color="auto"/>
        <w:left w:val="none" w:sz="0" w:space="0" w:color="auto"/>
        <w:bottom w:val="none" w:sz="0" w:space="0" w:color="auto"/>
        <w:right w:val="none" w:sz="0" w:space="0" w:color="auto"/>
      </w:divBdr>
    </w:div>
    <w:div w:id="698238644">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041243361">
      <w:bodyDiv w:val="1"/>
      <w:marLeft w:val="0"/>
      <w:marRight w:val="0"/>
      <w:marTop w:val="0"/>
      <w:marBottom w:val="0"/>
      <w:divBdr>
        <w:top w:val="none" w:sz="0" w:space="0" w:color="auto"/>
        <w:left w:val="none" w:sz="0" w:space="0" w:color="auto"/>
        <w:bottom w:val="none" w:sz="0" w:space="0" w:color="auto"/>
        <w:right w:val="none" w:sz="0" w:space="0" w:color="auto"/>
      </w:divBdr>
    </w:div>
    <w:div w:id="15818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ydent/thermal_acc_and_cyan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4F4BA-55F0-4D49-AFF3-CC96F14C1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Tamara Layden</cp:lastModifiedBy>
  <cp:revision>59</cp:revision>
  <dcterms:created xsi:type="dcterms:W3CDTF">2020-09-29T20:29:00Z</dcterms:created>
  <dcterms:modified xsi:type="dcterms:W3CDTF">2020-10-26T19:23:00Z</dcterms:modified>
</cp:coreProperties>
</file>