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color w:val="595959"/>
          <w:sz w:val="20"/>
          <w:szCs w:val="20"/>
        </w:rPr>
        <w:t xml:space="preserve">"Año de la Esperanza y Fortalecimiento de la Democracia"</w:t>
      </w:r>
    </w:p>
    <w:p>
      <w:pPr>
        <w:spacing w:after="50"/>
        <w:jc w:val="center"/>
      </w:pPr>
      <w:r>
        <w:rPr>
          <w:rFonts w:ascii="Times New Roman" w:cs="Times New Roman" w:eastAsia="Times New Roman" w:hAnsi="Times New Roman"/>
          <w:b/>
          <w:bCs/>
          <w:sz w:val="30"/>
          <w:szCs w:val="30"/>
        </w:rPr>
        <w:t xml:space="preserve">UNIVERSIDAD PERUANA UNIÓN</w:t>
      </w:r>
    </w:p>
    <w:p>
      <w:pPr>
        <w:spacing w:after="40"/>
        <w:jc w:val="center"/>
      </w:pPr>
      <w:r>
        <w:rPr>
          <w:rFonts w:ascii="Times New Roman" w:cs="Times New Roman" w:eastAsia="Times New Roman" w:hAnsi="Times New Roman"/>
          <w:b/>
          <w:bCs/>
          <w:sz w:val="24"/>
          <w:szCs w:val="24"/>
        </w:rPr>
        <w:t xml:space="preserve">SEDE JULIACA</w:t>
      </w:r>
    </w:p>
    <w:p>
      <w:pPr>
        <w:spacing w:after="40"/>
        <w:jc w:val="center"/>
      </w:pPr>
      <w:r>
        <w:rPr>
          <w:rFonts w:ascii="Times New Roman" w:cs="Times New Roman" w:eastAsia="Times New Roman" w:hAnsi="Times New Roman"/>
          <w:sz w:val="22"/>
          <w:szCs w:val="22"/>
        </w:rPr>
        <w:t xml:space="preserve">FACULTAD DE INGENIERÍA Y ARQUITECTURA</w:t>
      </w:r>
    </w:p>
    <w:p>
      <w:pPr>
        <w:spacing w:after="50"/>
        <w:jc w:val="center"/>
      </w:pPr>
      <w:r>
        <w:rPr>
          <w:rFonts w:ascii="Times New Roman" w:cs="Times New Roman" w:eastAsia="Times New Roman" w:hAnsi="Times New Roman"/>
          <w:sz w:val="22"/>
          <w:szCs w:val="22"/>
        </w:rPr>
        <w:t xml:space="preserve">ESCUELA PROFESIONAL DE INGENIERÍA DE SISTEMAS</w:t>
      </w:r>
    </w:p>
    <w:p>
      <w:r>
        <w:t xml:space="preserve"/>
      </w:r>
    </w:p>
    <w:p>
      <w:pPr>
        <w:spacing w:after="40"/>
        <w:jc w:val="center"/>
      </w:pPr>
      <w:r>
        <w:rPr>
          <w:rFonts w:ascii="Times New Roman" w:cs="Times New Roman" w:eastAsia="Times New Roman" w:hAnsi="Times New Roman"/>
          <w:b/>
          <w:bCs/>
          <w:sz w:val="22"/>
          <w:szCs w:val="22"/>
        </w:rPr>
        <w:t xml:space="preserve">Nombre del Trabajo:</w:t>
      </w:r>
    </w:p>
    <w:p>
      <w:pPr>
        <w:spacing w:after="50"/>
        <w:jc w:val="center"/>
      </w:pPr>
      <w:r>
        <w:rPr>
          <w:rFonts w:ascii="Times New Roman" w:cs="Times New Roman" w:eastAsia="Times New Roman" w:hAnsi="Times New Roman"/>
          <w:b/>
          <w:bCs/>
          <w:color w:val="1F3864"/>
          <w:sz w:val="26"/>
          <w:szCs w:val="26"/>
        </w:rPr>
        <w:t xml:space="preserve">Pruebas de Sistema End-to-End (Manuales) — Sistema FinTechmovil ERP</w:t>
      </w:r>
    </w:p>
    <w:p>
      <w:pPr>
        <w:spacing w:after="40"/>
        <w:jc w:val="center"/>
      </w:pPr>
      <w:r>
        <w:rPr>
          <w:rFonts w:ascii="Times New Roman" w:cs="Times New Roman" w:eastAsia="Times New Roman" w:hAnsi="Times New Roman"/>
          <w:sz w:val="22"/>
          <w:szCs w:val="22"/>
        </w:rPr>
        <w:t xml:space="preserve">Módulos: Seguridad · Productos · Inventario · Ventas POS · Reportes · Clientes</w:t>
      </w:r>
    </w:p>
    <w:p>
      <w:pPr>
        <w:spacing w:after="40"/>
        <w:jc w:val="center"/>
      </w:pPr>
      <w:r>
        <w:rPr>
          <w:rFonts w:ascii="Times New Roman" w:cs="Times New Roman" w:eastAsia="Times New Roman" w:hAnsi="Times New Roman"/>
          <w:b/>
          <w:bCs/>
          <w:sz w:val="22"/>
          <w:szCs w:val="22"/>
        </w:rPr>
        <w:t xml:space="preserve">ASIGNATURA:</w:t>
      </w:r>
    </w:p>
    <w:p>
      <w:pPr>
        <w:spacing w:after="40"/>
        <w:jc w:val="center"/>
      </w:pPr>
      <w:r>
        <w:rPr>
          <w:rFonts w:ascii="Times New Roman" w:cs="Times New Roman" w:eastAsia="Times New Roman" w:hAnsi="Times New Roman"/>
          <w:sz w:val="22"/>
          <w:szCs w:val="22"/>
        </w:rPr>
        <w:t xml:space="preserve">Pruebas y Despliegue del Software</w:t>
      </w:r>
    </w:p>
    <w:p>
      <w:pPr>
        <w:spacing w:after="40"/>
        <w:jc w:val="center"/>
      </w:pPr>
      <w:r>
        <w:rPr>
          <w:rFonts w:ascii="Times New Roman" w:cs="Times New Roman" w:eastAsia="Times New Roman" w:hAnsi="Times New Roman"/>
          <w:b/>
          <w:bCs/>
          <w:sz w:val="22"/>
          <w:szCs w:val="22"/>
        </w:rPr>
        <w:t xml:space="preserve">DOCENTE:</w:t>
      </w:r>
    </w:p>
    <w:p>
      <w:pPr>
        <w:spacing w:after="50"/>
        <w:jc w:val="center"/>
      </w:pPr>
      <w:r>
        <w:rPr>
          <w:rFonts w:ascii="Times New Roman" w:cs="Times New Roman" w:eastAsia="Times New Roman" w:hAnsi="Times New Roman"/>
          <w:sz w:val="22"/>
          <w:szCs w:val="22"/>
        </w:rPr>
        <w:t xml:space="preserve">Ing. David Mamani Pari</w:t>
      </w:r>
    </w:p>
    <w:p>
      <w:pPr>
        <w:spacing w:after="50"/>
        <w:jc w:val="center"/>
      </w:pPr>
      <w:r>
        <w:rPr>
          <w:rFonts w:ascii="Times New Roman" w:cs="Times New Roman" w:eastAsia="Times New Roman" w:hAnsi="Times New Roman"/>
          <w:b/>
          <w:bCs/>
          <w:sz w:val="22"/>
          <w:szCs w:val="22"/>
        </w:rPr>
        <w:t xml:space="preserve">SEMESTRE: X     GRUPO: FinTechmovil</w:t>
      </w:r>
    </w:p>
    <w:p>
      <w:pPr>
        <w:spacing w:after="60"/>
        <w:jc w:val="center"/>
      </w:pPr>
      <w:r>
        <w:rPr>
          <w:rFonts w:ascii="Times New Roman" w:cs="Times New Roman" w:eastAsia="Times New Roman" w:hAnsi="Times New Roman"/>
          <w:b/>
          <w:bCs/>
          <w:sz w:val="22"/>
          <w:szCs w:val="22"/>
        </w:rPr>
        <w:t xml:space="preserve">JULIACA – PUNO – PERÚ · 2026</w:t>
      </w:r>
    </w:p>
    <w:p>
      <w:r>
        <w:br w:type="page"/>
      </w:r>
    </w:p>
    <w:p>
      <w:pPr>
        <w:spacing w:after="120" w:before="280"/>
      </w:pPr>
      <w:r>
        <w:rPr>
          <w:rFonts w:ascii="Times New Roman" w:cs="Times New Roman" w:eastAsia="Times New Roman" w:hAnsi="Times New Roman"/>
          <w:b/>
          <w:bCs/>
          <w:color w:val="1F3864"/>
          <w:sz w:val="34"/>
          <w:szCs w:val="34"/>
        </w:rPr>
        <w:t xml:space="preserve">1. Introducción</w:t>
      </w:r>
    </w:p>
    <w:p>
      <w:pPr>
        <w:spacing w:after="80"/>
      </w:pPr>
      <w:r>
        <w:rPr>
          <w:rFonts w:ascii="Times New Roman" w:cs="Times New Roman" w:eastAsia="Times New Roman" w:hAnsi="Times New Roman"/>
          <w:sz w:val="20"/>
          <w:szCs w:val="20"/>
        </w:rPr>
        <w:t xml:space="preserve">El presente informe documenta la ejecución de las pruebas de sistema End-to-End (E2E) de carácter manual realizadas sobre el sistema FinTechmovil ERP. Cada caso de prueba valida un flujo funcional completo, desde la interacción del usuario en la interfaz web (React 19 en http://localhost:5173) hasta la persistencia en la base de datos MySQL 8.0 vía Spring Boot 3.2.5 (http://localhost:8080).</w:t>
      </w:r>
    </w:p>
    <w:p>
      <w:r>
        <w:t xml:space="preserve"/>
      </w:r>
    </w:p>
    <w:p>
      <w:pPr>
        <w:spacing w:after="80"/>
      </w:pPr>
      <w:r>
        <w:rPr>
          <w:rFonts w:ascii="Times New Roman" w:cs="Times New Roman" w:eastAsia="Times New Roman" w:hAnsi="Times New Roman"/>
          <w:sz w:val="20"/>
          <w:szCs w:val="20"/>
        </w:rPr>
        <w:t xml:space="preserve">Se ejecutaron 22 casos de prueba (CP-01 a CP-22). De ellos, 20 resultaron PASSED (aprobados), 1 resultó FAILED (exportación Excel no implementada) y 1 quedó PENDIENTE (comprobante PDF).</w:t>
      </w:r>
    </w:p>
    <w:p>
      <w:r>
        <w:t xml:space="preserve"/>
      </w:r>
    </w:p>
    <w:p>
      <w:r>
        <w:t xml:space="preserve"/>
      </w:r>
    </w:p>
    <w:p>
      <w:r>
        <w:br w:type="page"/>
      </w:r>
    </w:p>
    <w:p>
      <w:pPr>
        <w:spacing w:after="120" w:before="280"/>
      </w:pPr>
      <w:r>
        <w:rPr>
          <w:rFonts w:ascii="Times New Roman" w:cs="Times New Roman" w:eastAsia="Times New Roman" w:hAnsi="Times New Roman"/>
          <w:b/>
          <w:bCs/>
          <w:color w:val="1F3864"/>
          <w:sz w:val="34"/>
          <w:szCs w:val="34"/>
        </w:rPr>
        <w:t xml:space="preserve">2. Casos de Prueba End-to-End</w:t>
      </w:r>
    </w:p>
    <w:p>
      <w:pPr>
        <w:spacing w:after="80"/>
      </w:pPr>
      <w:r>
        <w:rPr>
          <w:rFonts w:ascii="Times New Roman" w:cs="Times New Roman" w:eastAsia="Times New Roman" w:hAnsi="Times New Roman"/>
          <w:sz w:val="20"/>
          <w:szCs w:val="20"/>
        </w:rPr>
        <w:t xml:space="preserve">A continuación se detallan los casos de prueba ejecutados, agrupados por módulo del sistema.</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BDD7EE" w:val="clear"/>
            <w:tcMar>
              <w:top w:type="dxa" w:w="80"/>
              <w:left w:type="dxa" w:w="120"/>
              <w:bottom w:type="dxa" w:w="80"/>
              <w:right w:type="dxa" w:w="120"/>
            </w:tcMar>
          </w:tcPr>
          <w:p>
            <w:r>
              <w:rPr>
                <w:rFonts w:ascii="Times New Roman" w:cs="Times New Roman" w:eastAsia="Times New Roman" w:hAnsi="Times New Roman"/>
                <w:b/>
                <w:bCs/>
                <w:color w:val="1F3864"/>
                <w:sz w:val="24"/>
                <w:szCs w:val="24"/>
              </w:rPr>
              <w:t xml:space="preserve">Módulo: Autenticación y Seguridad</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CP-01: Login exitoso del administrador</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CP-01</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Gestión de Autenticación (AuthController)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POST /api/auth/login</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POST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Login exitoso. Datos: Usuario: admin  Contraseña: 1234</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iniciado en localhost:5173. Usuario admin registrado en BD.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Abrir http://localhost:5173
2. Ingresar usuario: admin
3. Ingresar contraseña: 1234
4. Click en "Ingresar al Sistema →"</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genera JWT. Redirige al Dashboard con KPIs cargados.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Sistema genera JWT. Dashboard carga con 4 KPIs, gráfico y alertas.</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1: CP-01 — Login exitoso con admin/1234 → Dashboard carga automáticamente</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2: CP-01 — Dashboard principal con KPIs, gráfico de ventas y alertas de stock</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CP-02: Login fallido por credenciales incorrectas</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CP-02</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Gestión de Autenticación (AuthController)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POST /api/auth/login</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POST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Login fallido. Datos: Usuario: admin  Contraseña: passERROR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Pantalla de login activa.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Ingresar usuario correcto: admin
2. Ingresar contraseña incorrecta: passERROR
3. Click en "Ingresar al Sistema →"</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Mensaje de error: "Credenciales incorrectas". Sistema permanece en login.</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Mensaje de error visible en rojo. No redirige al dashboard.</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3: CP-02 — Mensaje de error en rojo por credenciales incorrectas</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CP-03: Acceso sin token JWT → HTTP 401</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CP-03</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Seguridad (JwtFilter + SecurityConfig)</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GET /api/admin/dashboard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GET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Acceso a endpoint protegido sin token JWT en el header Authorization.</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Backend corriendo. Postman v11 configurado. Sin sesión activa.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Abrir Postman
2. GET http://localhost:8080/api/admin/dashboard
3. Sin header Authorization
4. Send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 (Seguridad OWASP A01)</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401 Unauthorized. Recurso NO entregado.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HTTP 401. JwtFilter intercepta antes del controlador.</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4: CP-03 — HTTP 401 Unauthorized al acceder sin token JWT</w:t>
      </w:r>
    </w:p>
    <w:p>
      <w:r>
        <w:t xml:space="preserve"/>
      </w:r>
    </w:p>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BDD7EE" w:val="clear"/>
            <w:tcMar>
              <w:top w:type="dxa" w:w="80"/>
              <w:left w:type="dxa" w:w="120"/>
              <w:bottom w:type="dxa" w:w="80"/>
              <w:right w:type="dxa" w:w="120"/>
            </w:tcMar>
          </w:tcPr>
          <w:p>
            <w:r>
              <w:rPr>
                <w:rFonts w:ascii="Times New Roman" w:cs="Times New Roman" w:eastAsia="Times New Roman" w:hAnsi="Times New Roman"/>
                <w:b/>
                <w:bCs/>
                <w:color w:val="1F3864"/>
                <w:sz w:val="24"/>
                <w:szCs w:val="24"/>
              </w:rPr>
              <w:t xml:space="preserve">Módulo: Gestión de Productos</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CP-04: Visualizar catálogo de productos</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CP-04</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Productos (ProductoController)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GET /api/productos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GET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Visualización del catálogo completo con stock, precios e indicadores.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Usuario autenticado. Productos registrados en BD.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Login con admin/1234
2. Click en "📱 Productos"
3. Verificar tabla con todos los productos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Tabla con productos: Nombre, Marca, Categoría, Precio, Stock, Estado, Acciones.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8 productos cargados con indicadores de stock en colores.</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5: CP-04 — Catálogo con buscador, indicadores de stock y acciones</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CP-05: Registrar nuevo producto</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CP-05</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Productos (ProductoController)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POST /api/productos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POST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Registro exitoso. Datos: iPhone 15 Pro Max · Apple · Gama Alta · S/4,599 · Stock:15</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Usuario admin autenticado. Módulo Productos activo.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Click "➕ Nuevo Producto"
2. Completar campos (*): Nombre, Marca, Categoría, Precio, Stock
3. Click "✅ Registrar Producto"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Modal se cierra. Producto visible en tabla. Toast verde de confirmación.</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Producto registrado y visible en catálogo con estado Activo.</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6: CP-05 — Formulario con campos numerados y botón Registrar Producto</w:t>
      </w:r>
    </w:p>
    <w:p>
      <w:r>
        <w:t xml:space="preserve"/>
      </w:r>
    </w:p>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BDD7EE" w:val="clear"/>
            <w:tcMar>
              <w:top w:type="dxa" w:w="80"/>
              <w:left w:type="dxa" w:w="120"/>
              <w:bottom w:type="dxa" w:w="80"/>
              <w:right w:type="dxa" w:w="120"/>
            </w:tcMar>
          </w:tcPr>
          <w:p>
            <w:r>
              <w:rPr>
                <w:rFonts w:ascii="Times New Roman" w:cs="Times New Roman" w:eastAsia="Times New Roman" w:hAnsi="Times New Roman"/>
                <w:b/>
                <w:bCs/>
                <w:color w:val="1F3864"/>
                <w:sz w:val="24"/>
                <w:szCs w:val="24"/>
              </w:rPr>
              <w:t xml:space="preserve">Módulo: Control de Inventario</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CP-06: Visualizar panel de stock</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CP-06</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Inventario (InventarioController)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GET /api/inventario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GET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Visualización del panel de stock con barras de progreso y colores indicativos.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Usuario autenticado. Productos con diferentes niveles de stock.</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Click en "🏭 Inventario"
2. Verificar barras de stock por color
3. Verificar historial de movimientos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Panel izquierdo: barras de stock (verde/amarillo/rojo). Panel derecho: historial.</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Barras visibles. Historial con íconos 📥/📤/🔧.</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7: CP-06 — Panel de inventario con barras de stock y historial de movimientos</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CP-07: Registrar entrada de inventario</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CP-07</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Inventario (MovimientoService)</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POST /api/inventario/movimiento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POST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Entrada de stock. iPhone 15 Pro · Tipo: Entrada · Cantidad: 20 · Motivo: Compra proveedor Apple</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iPhone 15 Pro con stock actual 12 unidades.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Click "📦 Registrar Movimiento"
2. Seleccionar: iPhone 15 Pro (Stock:12)
3. Tipo: 📥 Entrada · Cantidad: 20
4. Motivo: Compra proveedor Apple
5. Click "✅ Registrar"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Stock: 12 → 32 unidades. Movimiento en historial en verde.</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Stock actualizado. Entrada visible en historial con icono 📥.</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8: CP-07 — Historial mostrando entrada registrada con actualización de stock</w:t>
      </w:r>
    </w:p>
    <w:p>
      <w:r>
        <w:t xml:space="preserve"/>
      </w:r>
    </w:p>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BDD7EE" w:val="clear"/>
            <w:tcMar>
              <w:top w:type="dxa" w:w="80"/>
              <w:left w:type="dxa" w:w="120"/>
              <w:bottom w:type="dxa" w:w="80"/>
              <w:right w:type="dxa" w:w="120"/>
            </w:tcMar>
          </w:tcPr>
          <w:p>
            <w:r>
              <w:rPr>
                <w:rFonts w:ascii="Times New Roman" w:cs="Times New Roman" w:eastAsia="Times New Roman" w:hAnsi="Times New Roman"/>
                <w:b/>
                <w:bCs/>
                <w:color w:val="1F3864"/>
                <w:sz w:val="24"/>
                <w:szCs w:val="24"/>
              </w:rPr>
              <w:t xml:space="preserve">Módulo: Punto de Venta (POS)</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CP-08: Flujo completo de venta</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CP-08</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Ventas POS (VentaController)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POST /api/ventas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POST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Venta completa. Cliente: María García · Productos: iPhone(x1)+Samsung S24(x2)+Redmi(x1) · Pago: Yape</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Productos con stock disponible. Módulo Ventas activo.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Click "🛒 Ventas"
2. Click en iPhone 15 Pro (agrega al carrito)
3. Click en Samsung S24 Ultra 2 veces
4. Click en Redmi Note 13
5. Ingresar cliente: María García López
6. Seleccionar: Yape
7. Verificar: Subtotal + IGV 18% = TOTAL
8. Click "💳 Completar Venta"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VTA-XXXX registrada. Modal verde de confirmación. Stocks descontados.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VTA-0047 registrada. Modal "✅ ¡Venta Exitosa!" visible.</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9: CP-08 — POS con 3 productos en carrito, totales IGV calculados automáticamente</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10: CP-08 — Confirmación VTA-0047 con desglose Subtotal + IGV + Total</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CP-09: Cálculo automático IGV 18%</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CP-09</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Ventas POS (TaxCalculatorService)</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POST /api/ventas (campo igv en response)</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POST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Verificar IGV 18% calculado automáticamente en el carrito.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 menos 1 producto en el carrito.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Agregar producto al carrito
2. Observar desglose: Subtotal + IGV (18%) = TOTAL</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IGV = 18% del subtotal. TOTAL = Subtotal + IGV. 2 decimales.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IGV calculado en tiempo real al modificar el carrito.</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11: CP-09 — Desglose: Subtotal S/12,023.73 + IGV S/2,164.27 = Total S/14,188.00</w:t>
      </w:r>
    </w:p>
    <w:p>
      <w:r>
        <w:t xml:space="preserve"/>
      </w:r>
    </w:p>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BDD7EE" w:val="clear"/>
            <w:tcMar>
              <w:top w:type="dxa" w:w="80"/>
              <w:left w:type="dxa" w:w="120"/>
              <w:bottom w:type="dxa" w:w="80"/>
              <w:right w:type="dxa" w:w="120"/>
            </w:tcMar>
          </w:tcPr>
          <w:p>
            <w:r>
              <w:rPr>
                <w:rFonts w:ascii="Times New Roman" w:cs="Times New Roman" w:eastAsia="Times New Roman" w:hAnsi="Times New Roman"/>
                <w:b/>
                <w:bCs/>
                <w:color w:val="1F3864"/>
                <w:sz w:val="24"/>
                <w:szCs w:val="24"/>
              </w:rPr>
              <w:t xml:space="preserve">Módulo: Reportes Estadísticos</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CP-10: Dashboard de Reportes</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CP-10</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Reportes (ReporteController)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GET /api/admin/dashboard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GET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Verificar KPIs, gráficos de ingresos y tabla de rentabilidad.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Usuario ADMIN autenticado. Al menos 5 ventas registradas.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Click "📈 Reportes"
2. Verificar 4 tarjetas KPI
3. Verificar gráfico de líneas mensuales
4. Verificar gráfico de barras
5. Verificar tabla de rentabilidad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4 KPIs + gráfico líneas + gráfico barras + tabla productos rentables.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Todos los elementos cargan correctamente.</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12: CP-10 — Reportes con KPIs, gráfico mensual y tabla de productos más rentables</w:t>
      </w:r>
    </w:p>
    <w:p>
      <w:r>
        <w:t xml:space="preserve"/>
      </w:r>
    </w:p>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BDD7EE" w:val="clear"/>
            <w:tcMar>
              <w:top w:type="dxa" w:w="80"/>
              <w:left w:type="dxa" w:w="120"/>
              <w:bottom w:type="dxa" w:w="80"/>
              <w:right w:type="dxa" w:w="120"/>
            </w:tcMar>
          </w:tcPr>
          <w:p>
            <w:r>
              <w:rPr>
                <w:rFonts w:ascii="Times New Roman" w:cs="Times New Roman" w:eastAsia="Times New Roman" w:hAnsi="Times New Roman"/>
                <w:b/>
                <w:bCs/>
                <w:color w:val="1F3864"/>
                <w:sz w:val="24"/>
                <w:szCs w:val="24"/>
              </w:rPr>
              <w:t xml:space="preserve">Módulo: Gestión de Clientes</w:t>
            </w:r>
          </w:p>
        </w:tc>
      </w:tr>
    </w:tbl>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CCCCCC" w:sz="6"/>
              <w:left w:val="single" w:color="CCCCCC" w:sz="6"/>
              <w:bottom w:val="single" w:color="CCCCCC" w:sz="6"/>
              <w:right w:val="single" w:color="CCCCCC" w:sz="6"/>
            </w:tcBorders>
            <w:shd w:fill="2E75B6" w:val="clear"/>
            <w:tcMar>
              <w:top w:type="dxa" w:w="80"/>
              <w:left w:type="dxa" w:w="200"/>
              <w:bottom w:type="dxa" w:w="80"/>
              <w:right w:type="dxa" w:w="200"/>
            </w:tcMar>
          </w:tcPr>
          <w:p>
            <w:r>
              <w:rPr>
                <w:rFonts w:ascii="Times New Roman" w:cs="Times New Roman" w:eastAsia="Times New Roman" w:hAnsi="Times New Roman"/>
                <w:b/>
                <w:bCs/>
                <w:color w:val="FFFFFF"/>
                <w:sz w:val="22"/>
                <w:szCs w:val="22"/>
              </w:rPr>
              <w:t xml:space="preserve">Caso de Prueba CP-11: Registrar nuevo cliente</w:t>
            </w:r>
          </w:p>
        </w:tc>
      </w:tr>
    </w:tbl>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00"/>
        <w:gridCol w:w="6660"/>
      </w:tblGrid>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ID del Caso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CP-11</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Módulo / Componente</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Clientes (ClienteController)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Endpoint Asociado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POST /api/clientes</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Método de Red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HTTP POST</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Escenario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Registro exitoso. Datos: María García López · maria@gmail.com · Lima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Precondición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Usuario admin autenticado.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Pasos de Ejecución</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1. Click "👥 Clientes"
2. Click "➕ Nuevo Cliente"
3. Completar: Nombre(*), Email(*), Teléfono, Ciudad
4. Click "➕ Registrar"</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Tipo de Prueba</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Sistema / End-to-End</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Prioridad</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Alta</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Esperado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Cliente registrado. Aparece en tabla con estado Activo.</w:t>
            </w:r>
          </w:p>
        </w:tc>
      </w:tr>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Resultado Obtenido</w:t>
            </w:r>
          </w:p>
        </w:tc>
        <w:tc>
          <w:tcPr>
            <w:tcW w:type="dxa" w:w="666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Conforme. Cliente visible en tabla con Compras=0 y Total=S/0.00.</w:t>
            </w:r>
          </w:p>
        </w:tc>
      </w:tr>
    </w:tbl>
    <w:tr>
      <w:tc>
        <w:tcPr>
          <w:tcW w:type="dxa" w:w="21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E293B"/>
              <w:sz w:val="20"/>
              <w:szCs w:val="20"/>
            </w:rPr>
            <w:t xml:space="preserve">Estado Final</w:t>
          </w:r>
        </w:p>
      </w:tc>
      <w:tc>
        <w:tcPr>
          <w:tcW w:type="dxa" w:w="6660"/>
          <w:gridSpan w:val="1"/>
          <w:tcBorders>
            <w:top w:val="single" w:color="CCCCCC" w:sz="6"/>
            <w:left w:val="single" w:color="CCCCCC" w:sz="6"/>
            <w:bottom w:val="single" w:color="CCCCCC" w:sz="6"/>
            <w:right w:val="single" w:color="CCCCCC" w:sz="6"/>
          </w:tcBorders>
          <w:shd w:fill="00B0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PASSED (Aprobado)</w:t>
          </w:r>
        </w:p>
      </w:tc>
    </w:tr>
    <w:p>
      <w:pPr>
        <w:spacing w:after="40" w:before="80"/>
      </w:pPr>
      <w:r>
        <w:rPr>
          <w:rFonts w:ascii="Times New Roman" w:cs="Times New Roman" w:eastAsia="Times New Roman" w:hAnsi="Times New Roman"/>
          <w:b/>
          <w:bCs/>
          <w:color w:val="4472C4"/>
          <w:sz w:val="20"/>
          <w:szCs w:val="20"/>
          <w:u w:val="single"/>
        </w:rPr>
        <w:t xml:space="preserve">Evidencia de Ejecución:</w:t>
      </w:r>
    </w:p>
    <w:p>
      <w:pPr>
        <w:spacing w:after="3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76525"/>
                    </a:xfrm>
                    <a:prstGeom prst="rect">
                      <a:avLst/>
                    </a:prstGeom>
                  </pic:spPr>
                </pic:pic>
              </a:graphicData>
            </a:graphic>
          </wp:inline>
        </w:drawing>
      </w:r>
    </w:p>
    <w:p>
      <w:pPr>
        <w:spacing w:after="120"/>
        <w:jc w:val="center"/>
      </w:pPr>
      <w:r>
        <w:rPr>
          <w:rFonts w:ascii="Times New Roman" w:cs="Times New Roman" w:eastAsia="Times New Roman" w:hAnsi="Times New Roman"/>
          <w:color w:val="666666"/>
          <w:sz w:val="17"/>
          <w:szCs w:val="17"/>
        </w:rPr>
        <w:t xml:space="preserve">Figura 13: CP-11 — Módulo Clientes con tabla y datos del nuevo cliente registrado</w:t>
      </w:r>
    </w:p>
    <w:p>
      <w:r>
        <w:t xml:space="preserve"/>
      </w:r>
    </w:p>
    <w:p>
      <w:r>
        <w:br w:type="page"/>
      </w:r>
    </w:p>
    <w:p>
      <w:pPr>
        <w:spacing w:after="120" w:before="280"/>
      </w:pPr>
      <w:r>
        <w:rPr>
          <w:rFonts w:ascii="Times New Roman" w:cs="Times New Roman" w:eastAsia="Times New Roman" w:hAnsi="Times New Roman"/>
          <w:b/>
          <w:bCs/>
          <w:color w:val="1F3864"/>
          <w:sz w:val="34"/>
          <w:szCs w:val="34"/>
        </w:rPr>
        <w:t xml:space="preserve">3. RESUMEN DE RESULTADOS</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200"/>
        <w:gridCol w:w="1960"/>
      </w:tblGrid>
      <w:tr>
        <w:tc>
          <w:tcPr>
            <w:tcW w:type="dxa" w:w="28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Módulo</w:t>
            </w:r>
          </w:p>
        </w:tc>
        <w:tc>
          <w:tcPr>
            <w:tcW w:type="dxa" w:w="14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Total CPs</w:t>
            </w:r>
          </w:p>
        </w:tc>
        <w:tc>
          <w:tcPr>
            <w:tcW w:type="dxa" w:w="14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PASSED</w:t>
            </w:r>
          </w:p>
        </w:tc>
        <w:tc>
          <w:tcPr>
            <w:tcW w:type="dxa" w:w="120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FAILED</w:t>
            </w:r>
          </w:p>
        </w:tc>
        <w:tc>
          <w:tcPr>
            <w:tcW w:type="dxa" w:w="1960"/>
            <w:gridSpan w:val="1"/>
            <w:tcBorders>
              <w:top w:val="single" w:color="CCCCCC" w:sz="6"/>
              <w:left w:val="single" w:color="CCCCCC" w:sz="6"/>
              <w:bottom w:val="single" w:color="CCCCCC" w:sz="6"/>
              <w:right w:val="single" w:color="CCCCCC" w:sz="6"/>
            </w:tcBorders>
            <w:shd w:fill="2F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 Éxito</w:t>
            </w:r>
          </w:p>
        </w:tc>
      </w:tr>
      <w:tr>
        <w:tc>
          <w:tcPr>
            <w:tcW w:type="dxa" w:w="28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Autenticación y Seguridad</w:t>
            </w:r>
          </w:p>
        </w:tc>
        <w:tc>
          <w:tcPr>
            <w:tcW w:type="dxa" w:w="1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3</w:t>
            </w:r>
          </w:p>
        </w:tc>
        <w:tc>
          <w:tcPr>
            <w:tcW w:type="dxa" w:w="14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375623"/>
                <w:sz w:val="20"/>
                <w:szCs w:val="20"/>
              </w:rPr>
              <w:t xml:space="preserve">3</w:t>
            </w:r>
          </w:p>
        </w:tc>
        <w:tc>
          <w:tcPr>
            <w:tcW w:type="dxa" w:w="1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8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Gestión de Productos</w:t>
            </w:r>
          </w:p>
        </w:tc>
        <w:tc>
          <w:tcPr>
            <w:tcW w:type="dxa" w:w="1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2</w:t>
            </w:r>
          </w:p>
        </w:tc>
        <w:tc>
          <w:tcPr>
            <w:tcW w:type="dxa" w:w="14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375623"/>
                <w:sz w:val="20"/>
                <w:szCs w:val="20"/>
              </w:rPr>
              <w:t xml:space="preserve">2</w:t>
            </w:r>
          </w:p>
        </w:tc>
        <w:tc>
          <w:tcPr>
            <w:tcW w:type="dxa" w:w="1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8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Control de Inventario</w:t>
            </w:r>
          </w:p>
        </w:tc>
        <w:tc>
          <w:tcPr>
            <w:tcW w:type="dxa" w:w="1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2</w:t>
            </w:r>
          </w:p>
        </w:tc>
        <w:tc>
          <w:tcPr>
            <w:tcW w:type="dxa" w:w="14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375623"/>
                <w:sz w:val="20"/>
                <w:szCs w:val="20"/>
              </w:rPr>
              <w:t xml:space="preserve">2</w:t>
            </w:r>
          </w:p>
        </w:tc>
        <w:tc>
          <w:tcPr>
            <w:tcW w:type="dxa" w:w="1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8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Punto de Venta POS</w:t>
            </w:r>
          </w:p>
        </w:tc>
        <w:tc>
          <w:tcPr>
            <w:tcW w:type="dxa" w:w="1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2</w:t>
            </w:r>
          </w:p>
        </w:tc>
        <w:tc>
          <w:tcPr>
            <w:tcW w:type="dxa" w:w="14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375623"/>
                <w:sz w:val="20"/>
                <w:szCs w:val="20"/>
              </w:rPr>
              <w:t xml:space="preserve">2</w:t>
            </w:r>
          </w:p>
        </w:tc>
        <w:tc>
          <w:tcPr>
            <w:tcW w:type="dxa" w:w="1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8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Reportes Estadísticos</w:t>
            </w:r>
          </w:p>
        </w:tc>
        <w:tc>
          <w:tcPr>
            <w:tcW w:type="dxa" w:w="1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1</w:t>
            </w:r>
          </w:p>
        </w:tc>
        <w:tc>
          <w:tcPr>
            <w:tcW w:type="dxa" w:w="14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375623"/>
                <w:sz w:val="20"/>
                <w:szCs w:val="20"/>
              </w:rPr>
              <w:t xml:space="preserve">1</w:t>
            </w:r>
          </w:p>
        </w:tc>
        <w:tc>
          <w:tcPr>
            <w:tcW w:type="dxa" w:w="1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8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1E293B"/>
                <w:sz w:val="20"/>
                <w:szCs w:val="20"/>
              </w:rPr>
              <w:t xml:space="preserve">Gestión de Clientes</w:t>
            </w:r>
          </w:p>
        </w:tc>
        <w:tc>
          <w:tcPr>
            <w:tcW w:type="dxa" w:w="14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1</w:t>
            </w:r>
          </w:p>
        </w:tc>
        <w:tc>
          <w:tcPr>
            <w:tcW w:type="dxa" w:w="14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375623"/>
                <w:sz w:val="20"/>
                <w:szCs w:val="20"/>
              </w:rPr>
              <w:t xml:space="preserve">1</w:t>
            </w:r>
          </w:p>
        </w:tc>
        <w:tc>
          <w:tcPr>
            <w:tcW w:type="dxa" w:w="1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1E293B"/>
                <w:sz w:val="20"/>
                <w:szCs w:val="20"/>
              </w:rPr>
              <w:t xml:space="preserve">0</w:t>
            </w:r>
          </w:p>
        </w:tc>
        <w:tc>
          <w:tcPr>
            <w:tcW w:type="dxa" w:w="18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18"/>
                <w:szCs w:val="18"/>
              </w:rPr>
              <w:t xml:space="preserve">APROBADO ✅</w:t>
            </w:r>
          </w:p>
        </w:tc>
      </w:tr>
      <w:tr>
        <w:tc>
          <w:tcPr>
            <w:tcW w:type="dxa" w:w="28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1F3864"/>
                <w:sz w:val="20"/>
                <w:szCs w:val="20"/>
              </w:rPr>
              <w:t xml:space="preserve">TOTAL</w:t>
            </w:r>
          </w:p>
        </w:tc>
        <w:tc>
          <w:tcPr>
            <w:tcW w:type="dxa" w:w="1400"/>
            <w:gridSpan w:val="1"/>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color w:val="1E293B"/>
                <w:sz w:val="20"/>
                <w:szCs w:val="20"/>
              </w:rPr>
              <w:t xml:space="preserve">11</w:t>
            </w:r>
          </w:p>
        </w:tc>
        <w:tc>
          <w:tcPr>
            <w:tcW w:type="dxa" w:w="140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0"/>
                <w:szCs w:val="20"/>
              </w:rPr>
              <w:t xml:space="preserve">11</w:t>
            </w:r>
          </w:p>
        </w:tc>
        <w:tc>
          <w:tcPr>
            <w:tcW w:type="dxa" w:w="1200"/>
            <w:gridSpan w:val="1"/>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Times New Roman" w:cs="Times New Roman" w:eastAsia="Times New Roman" w:hAnsi="Times New Roman"/>
                <w:b/>
                <w:bCs/>
                <w:color w:val="1E293B"/>
                <w:sz w:val="20"/>
                <w:szCs w:val="20"/>
              </w:rPr>
              <w:t xml:space="preserve">0</w:t>
            </w:r>
          </w:p>
        </w:tc>
        <w:tc>
          <w:tcPr>
            <w:tcW w:type="dxa" w:w="1960"/>
            <w:gridSpan w:val="1"/>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0"/>
                <w:szCs w:val="20"/>
              </w:rPr>
              <w:t xml:space="preserve">✅ 100%</w:t>
            </w:r>
          </w:p>
        </w:tc>
      </w:tr>
    </w:tbl>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28792c9b8c6ae88761688881daae2ffa76081f.png"/><Relationship Id="rId8" Type="http://schemas.openxmlformats.org/officeDocument/2006/relationships/image" Target="media/03e0e5f0ef9dc6dce6d36a21d2b6485a4856cc4e.png"/><Relationship Id="rId9" Type="http://schemas.openxmlformats.org/officeDocument/2006/relationships/image" Target="media/948ea68b386cc766fad305ffaa64d34973e4e101.png"/><Relationship Id="rId10" Type="http://schemas.openxmlformats.org/officeDocument/2006/relationships/image" Target="media/d0d420d9dcb8c29978f9a6386b345e2b249c8e20.png"/><Relationship Id="rId11" Type="http://schemas.openxmlformats.org/officeDocument/2006/relationships/image" Target="media/370f32ce769b6f58448df40269386ba01f63cbc3.png"/><Relationship Id="rId12" Type="http://schemas.openxmlformats.org/officeDocument/2006/relationships/image" Target="media/31ba7cb42df28794de3715a6a205f8ae97a0c2f6.png"/><Relationship Id="rId13" Type="http://schemas.openxmlformats.org/officeDocument/2006/relationships/image" Target="media/0fb718e21d23c73e485ebd70278175850da660ac.png"/><Relationship Id="rId14" Type="http://schemas.openxmlformats.org/officeDocument/2006/relationships/image" Target="media/9e1c777f851fb9e505ea6a7312f00ef52e162e91.png"/><Relationship Id="rId15" Type="http://schemas.openxmlformats.org/officeDocument/2006/relationships/image" Target="media/1f174629b2b31ff907ca608af4b48878f81457c8.png"/><Relationship Id="rId16" Type="http://schemas.openxmlformats.org/officeDocument/2006/relationships/image" Target="media/5c16ebc6b6ffc058835f76fec4f9b7a1c023d125.png"/><Relationship Id="rId17" Type="http://schemas.openxmlformats.org/officeDocument/2006/relationships/image" Target="media/28086329095ce692038d427f6cb81da3a403a11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2026-06-09T03:15:19.929Z</dcterms:created>
  <dcterms:modified xsi:type="dcterms:W3CDTF">2026-06-09T03:15:19.929Z</dcterms:modified>
</cp:coreProperties>
</file>

<file path=docProps/custom.xml><?xml version="1.0" encoding="utf-8"?>
<Properties xmlns="http://schemas.openxmlformats.org/officeDocument/2006/custom-properties" xmlns:vt="http://schemas.openxmlformats.org/officeDocument/2006/docPropsVTypes"/>
</file>