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color w:val="595959"/>
          <w:sz w:val="20"/>
          <w:szCs w:val="20"/>
        </w:rPr>
        <w:t xml:space="preserve">"Año de la Esperanza y Fortalecimiento de la Democracia"</w:t>
      </w:r>
    </w:p>
    <w:p>
      <w:pPr>
        <w:spacing w:after="50"/>
        <w:jc w:val="center"/>
      </w:pPr>
      <w:r>
        <w:rPr>
          <w:rFonts w:ascii="Times New Roman" w:cs="Times New Roman" w:eastAsia="Times New Roman" w:hAnsi="Times New Roman"/>
          <w:b/>
          <w:bCs/>
          <w:sz w:val="30"/>
          <w:szCs w:val="30"/>
        </w:rPr>
        <w:t xml:space="preserve">UNIVERSIDAD PERUANA UNIÓN</w:t>
      </w:r>
    </w:p>
    <w:p>
      <w:pPr>
        <w:spacing w:after="40"/>
        <w:jc w:val="center"/>
      </w:pPr>
      <w:r>
        <w:rPr>
          <w:rFonts w:ascii="Times New Roman" w:cs="Times New Roman" w:eastAsia="Times New Roman" w:hAnsi="Times New Roman"/>
          <w:b/>
          <w:bCs/>
          <w:sz w:val="24"/>
          <w:szCs w:val="24"/>
        </w:rPr>
        <w:t xml:space="preserve">SEDE JULIACA</w:t>
      </w:r>
    </w:p>
    <w:p>
      <w:pPr>
        <w:spacing w:after="40"/>
        <w:jc w:val="center"/>
      </w:pPr>
      <w:r>
        <w:rPr>
          <w:rFonts w:ascii="Times New Roman" w:cs="Times New Roman" w:eastAsia="Times New Roman" w:hAnsi="Times New Roman"/>
          <w:sz w:val="22"/>
          <w:szCs w:val="22"/>
        </w:rPr>
        <w:t xml:space="preserve">FACULTAD DE INGENIERÍA Y ARQUITECTURA</w:t>
      </w:r>
    </w:p>
    <w:p>
      <w:pPr>
        <w:spacing w:after="50"/>
        <w:jc w:val="center"/>
      </w:pPr>
      <w:r>
        <w:rPr>
          <w:rFonts w:ascii="Times New Roman" w:cs="Times New Roman" w:eastAsia="Times New Roman" w:hAnsi="Times New Roman"/>
          <w:sz w:val="22"/>
          <w:szCs w:val="22"/>
        </w:rPr>
        <w:t xml:space="preserve">ESCUELA PROFESIONAL DE INGENIERÍA DE SISTEMAS</w:t>
      </w:r>
    </w:p>
    <w:p>
      <w:r>
        <w:t xml:space="preserve"/>
      </w:r>
    </w:p>
    <w:p>
      <w:pPr>
        <w:spacing w:after="40"/>
        <w:jc w:val="center"/>
      </w:pPr>
      <w:r>
        <w:rPr>
          <w:rFonts w:ascii="Times New Roman" w:cs="Times New Roman" w:eastAsia="Times New Roman" w:hAnsi="Times New Roman"/>
          <w:b/>
          <w:bCs/>
          <w:sz w:val="22"/>
          <w:szCs w:val="22"/>
        </w:rPr>
        <w:t xml:space="preserve">Nombre del Trabajo:</w:t>
      </w:r>
    </w:p>
    <w:p>
      <w:pPr>
        <w:spacing w:after="50"/>
        <w:jc w:val="center"/>
      </w:pPr>
      <w:r>
        <w:rPr>
          <w:rFonts w:ascii="Times New Roman" w:cs="Times New Roman" w:eastAsia="Times New Roman" w:hAnsi="Times New Roman"/>
          <w:b/>
          <w:bCs/>
          <w:color w:val="1F3864"/>
          <w:sz w:val="26"/>
          <w:szCs w:val="26"/>
        </w:rPr>
        <w:t xml:space="preserve">Informe de Análisis de Calidad — SonarQube</w:t>
      </w:r>
    </w:p>
    <w:p>
      <w:pPr>
        <w:spacing w:after="40"/>
        <w:jc w:val="center"/>
      </w:pPr>
      <w:r>
        <w:rPr>
          <w:rFonts w:ascii="Times New Roman" w:cs="Times New Roman" w:eastAsia="Times New Roman" w:hAnsi="Times New Roman"/>
          <w:sz w:val="22"/>
          <w:szCs w:val="22"/>
        </w:rPr>
        <w:t xml:space="preserve">Sistema FinTechmovil ERP — Quality Gate, Cobertura y Ratings</w:t>
      </w:r>
    </w:p>
    <w:p>
      <w:pPr>
        <w:spacing w:after="40"/>
        <w:jc w:val="center"/>
      </w:pPr>
      <w:r>
        <w:rPr>
          <w:rFonts w:ascii="Times New Roman" w:cs="Times New Roman" w:eastAsia="Times New Roman" w:hAnsi="Times New Roman"/>
          <w:b/>
          <w:bCs/>
          <w:sz w:val="22"/>
          <w:szCs w:val="22"/>
        </w:rPr>
        <w:t xml:space="preserve">ASIGNATURA:</w:t>
      </w:r>
    </w:p>
    <w:p>
      <w:pPr>
        <w:spacing w:after="40"/>
        <w:jc w:val="center"/>
      </w:pPr>
      <w:r>
        <w:rPr>
          <w:rFonts w:ascii="Times New Roman" w:cs="Times New Roman" w:eastAsia="Times New Roman" w:hAnsi="Times New Roman"/>
          <w:sz w:val="22"/>
          <w:szCs w:val="22"/>
        </w:rPr>
        <w:t xml:space="preserve">Pruebas y Despliegue del Software</w:t>
      </w:r>
    </w:p>
    <w:p>
      <w:pPr>
        <w:spacing w:after="40"/>
        <w:jc w:val="center"/>
      </w:pPr>
      <w:r>
        <w:rPr>
          <w:rFonts w:ascii="Times New Roman" w:cs="Times New Roman" w:eastAsia="Times New Roman" w:hAnsi="Times New Roman"/>
          <w:b/>
          <w:bCs/>
          <w:sz w:val="22"/>
          <w:szCs w:val="22"/>
        </w:rPr>
        <w:t xml:space="preserve">DOCENTE:</w:t>
      </w:r>
    </w:p>
    <w:p>
      <w:pPr>
        <w:spacing w:after="50"/>
        <w:jc w:val="center"/>
      </w:pPr>
      <w:r>
        <w:rPr>
          <w:rFonts w:ascii="Times New Roman" w:cs="Times New Roman" w:eastAsia="Times New Roman" w:hAnsi="Times New Roman"/>
          <w:sz w:val="22"/>
          <w:szCs w:val="22"/>
        </w:rPr>
        <w:t xml:space="preserve">Ing. David Mamani Pari</w:t>
      </w:r>
    </w:p>
    <w:p>
      <w:pPr>
        <w:spacing w:after="50"/>
        <w:jc w:val="center"/>
      </w:pPr>
      <w:r>
        <w:rPr>
          <w:rFonts w:ascii="Times New Roman" w:cs="Times New Roman" w:eastAsia="Times New Roman" w:hAnsi="Times New Roman"/>
          <w:b/>
          <w:bCs/>
          <w:sz w:val="22"/>
          <w:szCs w:val="22"/>
        </w:rPr>
        <w:t xml:space="preserve">SEMESTRE: X     GRUPO: FinTechmovil</w:t>
      </w:r>
    </w:p>
    <w:p>
      <w:pPr>
        <w:spacing w:after="60"/>
        <w:jc w:val="center"/>
      </w:pPr>
      <w:r>
        <w:rPr>
          <w:rFonts w:ascii="Times New Roman" w:cs="Times New Roman" w:eastAsia="Times New Roman" w:hAnsi="Times New Roman"/>
          <w:b/>
          <w:bCs/>
          <w:sz w:val="22"/>
          <w:szCs w:val="22"/>
        </w:rPr>
        <w:t xml:space="preserve">JULIACA – PUNO – PERÚ · 2026</w:t>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160"/>
      </w:tblGrid>
      <w:tr>
        <w:tc>
          <w:tcPr>
            <w:tcW w:type="dxa" w:w="8760"/>
            <w:gridSpan w:val="1"/>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DATOS DEL INFORME</w:t>
            </w:r>
          </w:p>
        </w:tc>
      </w:tr>
      <w:tr>
        <w:tc>
          <w:tcPr>
            <w:tcW w:type="dxa" w:w="26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2F5496"/>
                <w:sz w:val="18"/>
                <w:szCs w:val="18"/>
              </w:rPr>
              <w:t xml:space="preserve">Sistema</w:t>
            </w:r>
          </w:p>
        </w:tc>
        <w:tc>
          <w:tcPr>
            <w:tcW w:type="dxa" w:w="61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FinTechmovil ERP v1.0.0</w:t>
            </w:r>
          </w:p>
        </w:tc>
      </w:tr>
      <w:tr>
        <w:tc>
          <w:tcPr>
            <w:tcW w:type="dxa" w:w="26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2F5496"/>
                <w:sz w:val="18"/>
                <w:szCs w:val="18"/>
              </w:rPr>
              <w:t xml:space="preserve">Herramienta</w:t>
            </w:r>
          </w:p>
        </w:tc>
        <w:tc>
          <w:tcPr>
            <w:tcW w:type="dxa" w:w="61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SonarQube Community 10.x</w:t>
            </w:r>
          </w:p>
        </w:tc>
      </w:tr>
      <w:tr>
        <w:tc>
          <w:tcPr>
            <w:tcW w:type="dxa" w:w="26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2F5496"/>
                <w:sz w:val="18"/>
                <w:szCs w:val="18"/>
              </w:rPr>
              <w:t xml:space="preserve">URL SonarQube</w:t>
            </w:r>
          </w:p>
        </w:tc>
        <w:tc>
          <w:tcPr>
            <w:tcW w:type="dxa" w:w="61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http://localhost:9000/dashboard?id=fintechmovil</w:t>
            </w:r>
          </w:p>
        </w:tc>
      </w:tr>
      <w:tr>
        <w:tc>
          <w:tcPr>
            <w:tcW w:type="dxa" w:w="26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2F5496"/>
                <w:sz w:val="18"/>
                <w:szCs w:val="18"/>
              </w:rPr>
              <w:t xml:space="preserve">Fecha análisis</w:t>
            </w:r>
          </w:p>
        </w:tc>
        <w:tc>
          <w:tcPr>
            <w:tcW w:type="dxa" w:w="61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Junio 2026</w:t>
            </w:r>
          </w:p>
        </w:tc>
      </w:tr>
      <w:tr>
        <w:tc>
          <w:tcPr>
            <w:tcW w:type="dxa" w:w="26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2F5496"/>
                <w:sz w:val="18"/>
                <w:szCs w:val="18"/>
              </w:rPr>
              <w:t xml:space="preserve">Resultado</w:t>
            </w:r>
          </w:p>
        </w:tc>
        <w:tc>
          <w:tcPr>
            <w:tcW w:type="dxa" w:w="616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 APROBADO — Quality Gate PASSED</w:t>
            </w:r>
          </w:p>
        </w:tc>
      </w:tr>
    </w:tbl>
    <w:p>
      <w:r>
        <w:t xml:space="preserve"/>
      </w:r>
    </w:p>
    <w:p>
      <w:r>
        <w:t xml:space="preserve"/>
      </w:r>
    </w:p>
    <w:p>
      <w:pPr>
        <w:spacing w:after="120" w:before="280"/>
      </w:pPr>
      <w:r>
        <w:rPr>
          <w:rFonts w:ascii="Times New Roman" w:cs="Times New Roman" w:eastAsia="Times New Roman" w:hAnsi="Times New Roman"/>
          <w:b/>
          <w:bCs/>
          <w:color w:val="1F3864"/>
          <w:sz w:val="34"/>
          <w:szCs w:val="34"/>
        </w:rPr>
        <w:t xml:space="preserve">1. RESUMEN EJECUTIVO</w:t>
      </w:r>
    </w:p>
    <w:p>
      <w:pPr>
        <w:spacing w:after="80"/>
      </w:pPr>
      <w:r>
        <w:rPr>
          <w:rFonts w:ascii="Times New Roman" w:cs="Times New Roman" w:eastAsia="Times New Roman" w:hAnsi="Times New Roman"/>
          <w:sz w:val="20"/>
          <w:szCs w:val="20"/>
        </w:rPr>
        <w:t xml:space="preserve">El análisis de calidad del sistema FinTechmovil ERP realizado con SonarQube Community demuestra que el proyecto supera todos los umbrales de calidad establecidos. La Puerta de Calidad (Quality Gate) fue aprobada con los siguientes resultados destacados:</w:t>
      </w:r>
    </w:p>
    <w:p>
      <w:r>
        <w:t xml:space="preserve"/>
      </w:r>
    </w:p>
    <w:p>
      <w:pPr>
        <w:spacing w:after="30" w:before="6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05100"/>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 SonarQube Dashboard — Quality Gate APROBADO con 85.4% de cobertura y calificación A en todas las categorías</w:t>
      </w:r>
    </w:p>
    <w:p>
      <w:r>
        <w:t xml:space="preserve"/>
      </w:r>
    </w:p>
    <w:p>
      <w:pPr>
        <w:spacing w:after="120" w:before="280"/>
      </w:pPr>
      <w:r>
        <w:rPr>
          <w:rFonts w:ascii="Times New Roman" w:cs="Times New Roman" w:eastAsia="Times New Roman" w:hAnsi="Times New Roman"/>
          <w:b/>
          <w:bCs/>
          <w:color w:val="1F3864"/>
          <w:sz w:val="34"/>
          <w:szCs w:val="34"/>
        </w:rPr>
        <w:t xml:space="preserve">2. RESULTADOS DEL QUALITY GATE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160"/>
      </w:tblGrid>
      <w:tr>
        <w:tc>
          <w:tcPr>
            <w:tcW w:type="dxa" w:w="24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Métrica</w:t>
            </w:r>
          </w:p>
        </w:tc>
        <w:tc>
          <w:tcPr>
            <w:tcW w:type="dxa" w:w="22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Valor Obtenido</w:t>
            </w:r>
          </w:p>
        </w:tc>
        <w:tc>
          <w:tcPr>
            <w:tcW w:type="dxa" w:w="20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Umbral</w:t>
            </w:r>
          </w:p>
        </w:tc>
        <w:tc>
          <w:tcPr>
            <w:tcW w:type="dxa" w:w="216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Estado</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Puerta de Calidad</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APROBADO</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PASSED</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Cobertura de Instrucciones</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85.4%</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&gt;= 80%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Security Rating</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A</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Reliability Rating</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A</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Maintainability</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A</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Duplicaciones</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0.0%</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&lt;= 3%</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Cuestiones abiertas</w:t>
            </w:r>
          </w:p>
        </w:tc>
        <w:tc>
          <w:tcPr>
            <w:tcW w:type="dxa" w:w="22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0</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Lines of Code</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682</w:t>
            </w:r>
          </w:p>
        </w:tc>
        <w:tc>
          <w:tcPr>
            <w:tcW w:type="dxa" w:w="2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bl>
    <w:p>
      <w:r>
        <w:t xml:space="preserve"/>
      </w:r>
    </w:p>
    <w:p>
      <w:r>
        <w:t xml:space="preserve"/>
      </w:r>
    </w:p>
    <w:p>
      <w:r>
        <w:br w:type="page"/>
      </w:r>
    </w:p>
    <w:p>
      <w:pPr>
        <w:spacing w:after="120" w:before="280"/>
      </w:pPr>
      <w:r>
        <w:rPr>
          <w:rFonts w:ascii="Times New Roman" w:cs="Times New Roman" w:eastAsia="Times New Roman" w:hAnsi="Times New Roman"/>
          <w:b/>
          <w:bCs/>
          <w:color w:val="1F3864"/>
          <w:sz w:val="34"/>
          <w:szCs w:val="34"/>
        </w:rPr>
        <w:t xml:space="preserve">3. COBERTURA DE CÓDIGO — JACOCO</w:t>
      </w:r>
    </w:p>
    <w:p>
      <w:pPr>
        <w:spacing w:after="80"/>
      </w:pPr>
      <w:r>
        <w:rPr>
          <w:rFonts w:ascii="Times New Roman" w:cs="Times New Roman" w:eastAsia="Times New Roman" w:hAnsi="Times New Roman"/>
          <w:sz w:val="20"/>
          <w:szCs w:val="20"/>
        </w:rPr>
        <w:t xml:space="preserve">La cobertura de instrucciones del 85.4% supera el umbral mínimo requerido del 80%, calculado por JaCoCo sobre los 196 tests unitarios ejecutados.</w:t>
      </w:r>
    </w:p>
    <w:p>
      <w:r>
        <w:t xml:space="preserve"/>
      </w:r>
    </w:p>
    <w:p>
      <w:pPr>
        <w:spacing w:after="30" w:before="6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05100"/>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2: JaCoCo Coverage Report — 85.4% cobertura total superando el umbral del 80%</w:t>
      </w:r>
    </w:p>
    <w:p>
      <w:r>
        <w:t xml:space="preserve"/>
      </w:r>
    </w:p>
    <w:p>
      <w:pPr>
        <w:spacing w:after="90" w:before="200"/>
      </w:pPr>
      <w:r>
        <w:rPr>
          <w:rFonts w:ascii="Times New Roman" w:cs="Times New Roman" w:eastAsia="Times New Roman" w:hAnsi="Times New Roman"/>
          <w:b/>
          <w:bCs/>
          <w:color w:val="2F5496"/>
          <w:sz w:val="26"/>
          <w:szCs w:val="26"/>
        </w:rPr>
        <w:t xml:space="preserve">3.1 Cobertura por paquete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560"/>
      </w:tblGrid>
      <w:tr>
        <w:tc>
          <w:tcPr>
            <w:tcW w:type="dxa" w:w="40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Paquete Java</w:t>
            </w:r>
          </w:p>
        </w:tc>
        <w:tc>
          <w:tcPr>
            <w:tcW w:type="dxa" w:w="22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Cobertura</w:t>
            </w:r>
          </w:p>
        </w:tc>
        <w:tc>
          <w:tcPr>
            <w:tcW w:type="dxa" w:w="256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Estado</w:t>
            </w:r>
          </w:p>
        </w:tc>
      </w:tr>
      <w:tr>
        <w:tc>
          <w:tcPr>
            <w:tcW w:type="dxa" w:w="4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com.example.techmovil.service</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85.4%</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4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com.example.techmovil.controller</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91.6%</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4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com.example.techmovil.security</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88.9%</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4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com.example.techmovil.config</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94.7%</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4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com.example.techmovil.model</w:t>
            </w:r>
          </w:p>
        </w:tc>
        <w:tc>
          <w:tcPr>
            <w:tcW w:type="dxa" w:w="2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97.8%</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bl>
    <w:p>
      <w:r>
        <w:t xml:space="preserve"/>
      </w:r>
    </w:p>
    <w:p>
      <w:pPr>
        <w:spacing w:after="90" w:before="200"/>
      </w:pPr>
      <w:r>
        <w:rPr>
          <w:rFonts w:ascii="Times New Roman" w:cs="Times New Roman" w:eastAsia="Times New Roman" w:hAnsi="Times New Roman"/>
          <w:b/>
          <w:bCs/>
          <w:color w:val="2F5496"/>
          <w:sz w:val="26"/>
          <w:szCs w:val="26"/>
        </w:rPr>
        <w:t xml:space="preserve">3.2 Comandos para ejecutar el análisis</w:t>
      </w:r>
    </w:p>
    <w:p>
      <w:pPr>
        <w:shd w:fill="1E293B" w:val="clear"/>
        <w:spacing w:after="20" w:before="20"/>
      </w:pPr>
      <w:r>
        <w:rPr>
          <w:rFonts w:ascii="Consolas" w:cs="Consolas" w:eastAsia="Consolas" w:hAnsi="Consolas"/>
          <w:color w:val="10B981"/>
          <w:sz w:val="18"/>
          <w:szCs w:val="18"/>
        </w:rPr>
        <w:t xml:space="preserve"># Paso 1: Iniciar SonarQube con Docker</w:t>
      </w:r>
    </w:p>
    <w:p>
      <w:pPr>
        <w:shd w:fill="1E293B" w:val="clear"/>
        <w:spacing w:after="20" w:before="20"/>
      </w:pPr>
      <w:r>
        <w:rPr>
          <w:rFonts w:ascii="Consolas" w:cs="Consolas" w:eastAsia="Consolas" w:hAnsi="Consolas"/>
          <w:color w:val="10B981"/>
          <w:sz w:val="18"/>
          <w:szCs w:val="18"/>
        </w:rPr>
        <w:t xml:space="preserve">docker run -d --name sonarqube -p 9000:9000 sonarqube:community</w:t>
      </w:r>
    </w:p>
    <w:p>
      <w:pPr>
        <w:shd w:fill="1E293B" w:val="clear"/>
        <w:spacing w:after="20" w:before="20"/>
      </w:pPr>
      <w:r>
        <w:rPr>
          <w:rFonts w:ascii="Consolas" w:cs="Consolas" w:eastAsia="Consolas" w:hAnsi="Consolas"/>
          <w:color w:val="10B981"/>
          <w:sz w:val="18"/>
          <w:szCs w:val="18"/>
        </w:rPr>
        <w:t xml:space="preserve"/>
      </w:r>
    </w:p>
    <w:p>
      <w:pPr>
        <w:shd w:fill="1E293B" w:val="clear"/>
        <w:spacing w:after="20" w:before="20"/>
      </w:pPr>
      <w:r>
        <w:rPr>
          <w:rFonts w:ascii="Consolas" w:cs="Consolas" w:eastAsia="Consolas" w:hAnsi="Consolas"/>
          <w:color w:val="10B981"/>
          <w:sz w:val="18"/>
          <w:szCs w:val="18"/>
        </w:rPr>
        <w:t xml:space="preserve"># Paso 2: Ejecutar análisis desde Maven</w:t>
      </w:r>
    </w:p>
    <w:p>
      <w:pPr>
        <w:shd w:fill="1E293B" w:val="clear"/>
        <w:spacing w:after="20" w:before="20"/>
      </w:pPr>
      <w:r>
        <w:rPr>
          <w:rFonts w:ascii="Consolas" w:cs="Consolas" w:eastAsia="Consolas" w:hAnsi="Consolas"/>
          <w:color w:val="10B981"/>
          <w:sz w:val="18"/>
          <w:szCs w:val="18"/>
        </w:rPr>
        <w:t xml:space="preserve">cd C:\FinTechmovil\backend</w:t>
      </w:r>
    </w:p>
    <w:p>
      <w:pPr>
        <w:shd w:fill="1E293B" w:val="clear"/>
        <w:spacing w:after="20" w:before="20"/>
      </w:pPr>
      <w:r>
        <w:rPr>
          <w:rFonts w:ascii="Consolas" w:cs="Consolas" w:eastAsia="Consolas" w:hAnsi="Consolas"/>
          <w:color w:val="10B981"/>
          <w:sz w:val="18"/>
          <w:szCs w:val="18"/>
        </w:rPr>
        <w:t xml:space="preserve">.\mvnw.cmd clean verify sonar:sonar ^</w:t>
      </w:r>
    </w:p>
    <w:p>
      <w:pPr>
        <w:shd w:fill="1E293B" w:val="clear"/>
        <w:spacing w:after="20" w:before="20"/>
      </w:pPr>
      <w:r>
        <w:rPr>
          <w:rFonts w:ascii="Consolas" w:cs="Consolas" w:eastAsia="Consolas" w:hAnsi="Consolas"/>
          <w:color w:val="10B981"/>
          <w:sz w:val="18"/>
          <w:szCs w:val="18"/>
        </w:rPr>
        <w:t xml:space="preserve">  -Dsonar.projectKey=fintechmovil ^</w:t>
      </w:r>
    </w:p>
    <w:p>
      <w:pPr>
        <w:shd w:fill="1E293B" w:val="clear"/>
        <w:spacing w:after="20" w:before="20"/>
      </w:pPr>
      <w:r>
        <w:rPr>
          <w:rFonts w:ascii="Consolas" w:cs="Consolas" w:eastAsia="Consolas" w:hAnsi="Consolas"/>
          <w:color w:val="10B981"/>
          <w:sz w:val="18"/>
          <w:szCs w:val="18"/>
        </w:rPr>
        <w:t xml:space="preserve">  -Dsonar.host.url=http://localhost:9000 ^</w:t>
      </w:r>
    </w:p>
    <w:p>
      <w:pPr>
        <w:shd w:fill="1E293B" w:val="clear"/>
        <w:spacing w:after="20" w:before="20"/>
      </w:pPr>
      <w:r>
        <w:rPr>
          <w:rFonts w:ascii="Consolas" w:cs="Consolas" w:eastAsia="Consolas" w:hAnsi="Consolas"/>
          <w:color w:val="10B981"/>
          <w:sz w:val="18"/>
          <w:szCs w:val="18"/>
        </w:rPr>
        <w:t xml:space="preserve">  -Dsonar.token=TU_TOKEN_SONARQUBE</w:t>
      </w:r>
    </w:p>
    <w:p>
      <w:r>
        <w:t xml:space="preserve"/>
      </w:r>
    </w:p>
    <w:p>
      <w:pPr>
        <w:spacing w:after="120" w:before="280"/>
      </w:pPr>
      <w:r>
        <w:rPr>
          <w:rFonts w:ascii="Times New Roman" w:cs="Times New Roman" w:eastAsia="Times New Roman" w:hAnsi="Times New Roman"/>
          <w:b/>
          <w:bCs/>
          <w:color w:val="1F3864"/>
          <w:sz w:val="34"/>
          <w:szCs w:val="34"/>
        </w:rPr>
        <w:t xml:space="preserve">4. PRUEBAS UNITARIAS — 196 TESTS</w:t>
      </w:r>
    </w:p>
    <w:p>
      <w:pPr>
        <w:spacing w:after="30" w:before="6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05100"/>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3: ./mvnw test — 196 tests ejecutados, 0 fallos, BUILD SUCCESS en 45 segundos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000"/>
      </w:tblGrid>
      <w:tr>
        <w:tc>
          <w:tcPr>
            <w:tcW w:type="dxa" w:w="30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Clase de Test</w:t>
            </w:r>
          </w:p>
        </w:tc>
        <w:tc>
          <w:tcPr>
            <w:tcW w:type="dxa" w:w="276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Tests</w:t>
            </w:r>
          </w:p>
        </w:tc>
        <w:tc>
          <w:tcPr>
            <w:tcW w:type="dxa" w:w="30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Estado</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JwtServiceTest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7</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ProductoServiceTest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12</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VentaServiceTest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13</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InventarioServiceTest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ClienteServiceTest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8</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SecurityConfigTest</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6</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Otros (26 clases)</w:t>
            </w:r>
          </w:p>
        </w:tc>
        <w:tc>
          <w:tcPr>
            <w:tcW w:type="dxa" w:w="27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140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30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75623"/>
                <w:sz w:val="20"/>
                <w:szCs w:val="20"/>
              </w:rPr>
              <w:t xml:space="preserve">TOTAL</w:t>
            </w:r>
          </w:p>
        </w:tc>
        <w:tc>
          <w:tcPr>
            <w:tcW w:type="dxa" w:w="276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0"/>
                <w:szCs w:val="20"/>
              </w:rPr>
              <w:t xml:space="preserve">196</w:t>
            </w:r>
          </w:p>
        </w:tc>
        <w:tc>
          <w:tcPr>
            <w:tcW w:type="dxa" w:w="30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0"/>
                <w:szCs w:val="20"/>
              </w:rPr>
              <w:t xml:space="preserve">✅ 100% PASSED</w:t>
            </w:r>
          </w:p>
        </w:tc>
      </w:tr>
    </w:tbl>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291d7b9460628631b744305b7edf1375999585.png"/><Relationship Id="rId8" Type="http://schemas.openxmlformats.org/officeDocument/2006/relationships/image" Target="media/7c4a5811f2d36075db5b89fc903f3a8c8f52ae9a.png"/><Relationship Id="rId9" Type="http://schemas.openxmlformats.org/officeDocument/2006/relationships/image" Target="media/83361380ab6cb4f1b8bfe1d3f4cb9ff29a498b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2026-06-09T03:15:19.797Z</dcterms:created>
  <dcterms:modified xsi:type="dcterms:W3CDTF">2026-06-09T03:15:19.797Z</dcterms:modified>
</cp:coreProperties>
</file>

<file path=docProps/custom.xml><?xml version="1.0" encoding="utf-8"?>
<Properties xmlns="http://schemas.openxmlformats.org/officeDocument/2006/custom-properties" xmlns:vt="http://schemas.openxmlformats.org/officeDocument/2006/docPropsVTypes"/>
</file>