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Policy-Aware Purchasing AI Assistant</w:t>
        <w:br/>
        <w:t>Comprehensive Technical Approaches</w:t>
      </w:r>
    </w:p>
    <w:p>
      <w:pPr>
        <w:pStyle w:val="Heading2"/>
      </w:pPr>
      <w:r>
        <w:t>Introduction</w:t>
      </w:r>
    </w:p>
    <w:p>
      <w:r>
        <w:t>This document presents two detailed architectures for building a policy-aware Purchasing AI Assistant: (1) Policy Brain with a Structured Policy Store, and (2) a Document-Only Policy Interpretation Approach. Both architectures include ingestion workflows, agent orchestration, and examples demonstrating policy application.</w:t>
      </w:r>
    </w:p>
    <w:p>
      <w:pPr>
        <w:pStyle w:val="Heading2"/>
      </w:pPr>
      <w:r>
        <w:t>Ingestion Pipeline Diagram</w:t>
      </w:r>
    </w:p>
    <w:p>
      <w:r>
        <w:drawing>
          <wp:inline xmlns:a="http://schemas.openxmlformats.org/drawingml/2006/main" xmlns:pic="http://schemas.openxmlformats.org/drawingml/2006/picture">
            <wp:extent cx="5486400" cy="3328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estion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8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Agent Workflow Diagram</w:t>
      </w:r>
    </w:p>
    <w:p>
      <w:r>
        <w:drawing>
          <wp:inline xmlns:a="http://schemas.openxmlformats.org/drawingml/2006/main" xmlns:pic="http://schemas.openxmlformats.org/drawingml/2006/picture">
            <wp:extent cx="5486400" cy="3328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8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Architecture Comparison Diagram</w:t>
      </w:r>
    </w:p>
    <w:p>
      <w:r>
        <w:drawing>
          <wp:inline xmlns:a="http://schemas.openxmlformats.org/drawingml/2006/main" xmlns:pic="http://schemas.openxmlformats.org/drawingml/2006/picture">
            <wp:extent cx="5486400" cy="33284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843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