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04</w:t>
      </w:r>
    </w:p>
    <w:p>
      <w:pPr>
        <w:pStyle w:val="Title"/>
        <w:jc w:val="center"/>
      </w:pPr>
      <w:r>
        <w:t>Architecture technique</w:t>
      </w:r>
    </w:p>
    <w:p>
      <w:pPr>
        <w:jc w:val="center"/>
      </w:pPr>
      <w:r>
        <w:rPr>
          <w:color w:val="5B6676"/>
          <w:sz w:val="22"/>
        </w:rPr>
        <w:t>GitHub + Vercel + Supabase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Stack cible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7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Couche</w:t>
            </w:r>
          </w:p>
        </w:tc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Choix</w:t>
            </w:r>
          </w:p>
        </w:tc>
        <w:tc>
          <w:tcPr>
            <w:tcW w:type="dxa" w:w="481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Responsabilité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Code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GitHub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Source de vérité, branches, PR, CI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Application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Next.js + TypeScript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Public, My Diaba Auto, back-office, Server Components/Actions/Route Handlers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UI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Tailwind CSS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Design system responsive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Hébergement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Build, previews, production, logs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Base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PostgreSQL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Données métier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Auth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Auth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Identité, sessions, reset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Storage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Storage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Images, vidéos, documents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Accès métier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Prisma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Modèle, transactions, requêtes, migrations</w:t>
            </w:r>
          </w:p>
        </w:tc>
      </w:tr>
    </w:tbl>
    <w:p>
      <w:pPr>
        <w:spacing w:after="20"/>
      </w:pPr>
    </w:p>
    <w:p>
      <w:pPr>
        <w:pStyle w:val="Heading1"/>
      </w:pPr>
      <w:r>
        <w:t>2. Architecture logique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Browser</w:t>
            </w:r>
            <w:r>
              <w:br/>
            </w:r>
            <w:r>
              <w:t xml:space="preserve">  ↓ HTTPS</w:t>
            </w:r>
            <w:r>
              <w:br/>
            </w:r>
            <w:r>
              <w:t>Vercel / Next.js</w:t>
            </w:r>
            <w:r>
              <w:br/>
            </w:r>
            <w:r>
              <w:t xml:space="preserve">  ├─ UI + Server Components</w:t>
            </w:r>
            <w:r>
              <w:br/>
            </w:r>
            <w:r>
              <w:t xml:space="preserve">  ├─ Server Actions / Route Handlers</w:t>
            </w:r>
            <w:r>
              <w:br/>
            </w:r>
            <w:r>
              <w:t xml:space="preserve">  ├─ Domain Services</w:t>
            </w:r>
            <w:r>
              <w:br/>
            </w:r>
            <w:r>
              <w:t xml:space="preserve">  └─ Authorization / Validation</w:t>
            </w:r>
            <w:r>
              <w:br/>
            </w:r>
            <w:r>
              <w:t xml:space="preserve">       ↓</w:t>
            </w:r>
            <w:r>
              <w:br/>
            </w:r>
            <w:r>
              <w:t xml:space="preserve">  Prisma → Supabase PostgreSQL</w:t>
            </w:r>
            <w:r>
              <w:br/>
            </w:r>
            <w:r>
              <w:t xml:space="preserve">  Supabase SDK → Auth / Storage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12B1FC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12B1FC"/>
                <w:sz w:val="18"/>
              </w:rPr>
              <w:t xml:space="preserve">Choix d’architecture — </w:t>
            </w:r>
            <w:r>
              <w:rPr>
                <w:color w:val="142033"/>
                <w:sz w:val="18"/>
              </w:rPr>
              <w:t>Monolithe modulaire en V1. Pas de microservices tant qu’un besoin réel de découplage ou de montée en charge ne l’exige.</w:t>
            </w:r>
          </w:p>
        </w:tc>
      </w:tr>
    </w:tbl>
    <w:p>
      <w:pPr>
        <w:spacing w:after="20"/>
      </w:pPr>
    </w:p>
    <w:p>
      <w:pPr>
        <w:pStyle w:val="Heading1"/>
      </w:pPr>
      <w:r>
        <w:t>3. Organisation GitHub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main       → production</w:t>
            </w:r>
            <w:r>
              <w:br/>
            </w:r>
            <w:r>
              <w:t>develop    → intégration/staging logique</w:t>
            </w:r>
            <w:r>
              <w:br/>
            </w:r>
            <w:r>
              <w:t>feature/*  → fonctionnalités</w:t>
            </w:r>
            <w:r>
              <w:br/>
            </w:r>
            <w:r>
              <w:t>fix/*      → corrections</w:t>
            </w:r>
            <w:r>
              <w:br/>
            </w:r>
            <w:r>
              <w:t>hotfix/*   → correctifs production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Pull Request obligatoire pour changements structurants.</w:t>
      </w:r>
    </w:p>
    <w:p>
      <w:pPr>
        <w:pStyle w:val="ListBullet"/>
        <w:spacing w:after="40"/>
      </w:pPr>
      <w:r>
        <w:t>Checks : lint, typecheck, tests, build.</w:t>
      </w:r>
    </w:p>
    <w:p>
      <w:pPr>
        <w:pStyle w:val="ListBullet"/>
        <w:spacing w:after="40"/>
      </w:pPr>
      <w:r>
        <w:t>Aucun secret dans Git ; .env.example contient uniquement les noms.</w:t>
      </w:r>
    </w:p>
    <w:p>
      <w:pPr>
        <w:pStyle w:val="Heading1"/>
      </w:pPr>
      <w:r>
        <w:t>4. Environnements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7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Environnement</w:t>
            </w:r>
          </w:p>
        </w:tc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Vercel</w:t>
            </w:r>
          </w:p>
        </w:tc>
        <w:tc>
          <w:tcPr>
            <w:tcW w:type="dxa" w:w="249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Supabase</w:t>
            </w:r>
          </w:p>
        </w:tc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Données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localhost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Projet dev ou Supabase local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Fictives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Preview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URL Vercel de PR</w:t>
            </w:r>
          </w:p>
        </w:tc>
        <w:tc>
          <w:tcPr>
            <w:tcW w:type="dxa" w:w="249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Dev/staging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Fictives / test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Production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domaine Diaba Auto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Projet prod dédié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Réelles</w:t>
            </w:r>
          </w:p>
        </w:tc>
      </w:tr>
    </w:tbl>
    <w:p>
      <w:pPr>
        <w:spacing w:after="20"/>
      </w:pPr>
    </w:p>
    <w:p>
      <w:pPr>
        <w:pStyle w:val="Heading1"/>
      </w:pPr>
      <w:r>
        <w:t>5. Structure de code recommandée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app/</w:t>
            </w:r>
            <w:r>
              <w:br/>
            </w:r>
            <w:r>
              <w:t xml:space="preserve">  (public)/</w:t>
            </w:r>
            <w:r>
              <w:br/>
            </w:r>
            <w:r>
              <w:t xml:space="preserve">  my-diaba-auto/</w:t>
            </w:r>
            <w:r>
              <w:br/>
            </w:r>
            <w:r>
              <w:t xml:space="preserve">  admin/</w:t>
            </w:r>
            <w:r>
              <w:br/>
            </w:r>
            <w:r>
              <w:t xml:space="preserve">  auth/</w:t>
            </w:r>
            <w:r>
              <w:br/>
            </w:r>
            <w:r>
              <w:t xml:space="preserve">  api/</w:t>
            </w:r>
            <w:r>
              <w:br/>
            </w:r>
            <w:r>
              <w:t>components/</w:t>
            </w:r>
            <w:r>
              <w:br/>
            </w:r>
            <w:r>
              <w:t>features/</w:t>
            </w:r>
            <w:r>
              <w:br/>
            </w:r>
            <w:r>
              <w:t xml:space="preserve">  vehicles/ pricing/ customers/ resellers/</w:t>
            </w:r>
            <w:r>
              <w:br/>
            </w:r>
            <w:r>
              <w:t xml:space="preserve">  favorites/ crm/ orders/ import-eligibility/</w:t>
            </w:r>
            <w:r>
              <w:br/>
            </w:r>
            <w:r>
              <w:t>lib/</w:t>
            </w:r>
            <w:r>
              <w:br/>
            </w:r>
            <w:r>
              <w:t xml:space="preserve">  auth/ prisma/ supabase/ permissions/ validation/</w:t>
            </w:r>
            <w:r>
              <w:br/>
            </w:r>
            <w:r>
              <w:t>services/</w:t>
            </w:r>
            <w:r>
              <w:br/>
            </w:r>
            <w:r>
              <w:t>repositories/</w:t>
            </w:r>
            <w:r>
              <w:br/>
            </w:r>
            <w:r>
              <w:t>prisma/</w:t>
            </w:r>
            <w:r>
              <w:br/>
            </w:r>
            <w:r>
              <w:t>tests/</w:t>
            </w:r>
            <w:r>
              <w:br/>
            </w:r>
            <w:r>
              <w:t>docs/</w:t>
            </w:r>
          </w:p>
        </w:tc>
      </w:tr>
    </w:tbl>
    <w:p>
      <w:pPr>
        <w:spacing w:after="20"/>
      </w:pPr>
    </w:p>
    <w:p>
      <w:pPr>
        <w:pStyle w:val="Heading1"/>
      </w:pPr>
      <w:r>
        <w:t>6. Authentification et autorisation</w:t>
      </w:r>
    </w:p>
    <w:p>
      <w:pPr>
        <w:pStyle w:val="ListBullet"/>
        <w:spacing w:after="40"/>
      </w:pPr>
      <w:r>
        <w:t>Supabase Auth est la source d’identité ; aucun password_hash métier.</w:t>
      </w:r>
    </w:p>
    <w:p>
      <w:pPr>
        <w:pStyle w:val="ListBullet"/>
        <w:spacing w:after="40"/>
      </w:pPr>
      <w:r>
        <w:t>Table public.profiles liée à auth.users.</w:t>
      </w:r>
    </w:p>
    <w:p>
      <w:pPr>
        <w:pStyle w:val="ListBullet"/>
        <w:spacing w:after="40"/>
      </w:pPr>
      <w:r>
        <w:t>Middleware pour garde de navigation ; vérification serveur obligatoire pour chaque action sensible.</w:t>
      </w:r>
    </w:p>
    <w:p>
      <w:pPr>
        <w:pStyle w:val="ListBullet"/>
        <w:spacing w:after="40"/>
      </w:pPr>
      <w:r>
        <w:t>RBAC pour le staff ; contrôles de propriété pour les données client.</w:t>
      </w:r>
    </w:p>
    <w:p>
      <w:pPr>
        <w:pStyle w:val="ListBullet"/>
        <w:spacing w:after="40"/>
      </w:pPr>
      <w:r>
        <w:t>RLS sur les tables exposées par Supabase API.</w:t>
      </w:r>
    </w:p>
    <w:p>
      <w:pPr>
        <w:pStyle w:val="Heading1"/>
      </w:pPr>
      <w:r>
        <w:t>7.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Bucket</w:t>
            </w:r>
          </w:p>
        </w:tc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Visibilité</w:t>
            </w:r>
          </w:p>
        </w:tc>
        <w:tc>
          <w:tcPr>
            <w:tcW w:type="dxa" w:w="436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vehicle-media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Public/contrôlé</w:t>
            </w:r>
          </w:p>
        </w:tc>
        <w:tc>
          <w:tcPr>
            <w:tcW w:type="dxa" w:w="43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Images catalogue et médias publiés ; vidéos selon stratégie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vehicle-documents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Privé</w:t>
            </w:r>
          </w:p>
        </w:tc>
        <w:tc>
          <w:tcPr>
            <w:tcW w:type="dxa" w:w="43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Inspection, historique, documents administratifs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avatars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Privé ou public contrôlé</w:t>
            </w:r>
          </w:p>
        </w:tc>
        <w:tc>
          <w:tcPr>
            <w:tcW w:type="dxa" w:w="43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Avatar utilisateur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app-assets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</w:t>
            </w:r>
          </w:p>
        </w:tc>
        <w:tc>
          <w:tcPr>
            <w:tcW w:type="dxa" w:w="43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Logo et ressources éditoriales</w:t>
            </w:r>
          </w:p>
        </w:tc>
      </w:tr>
    </w:tbl>
    <w:p>
      <w:pPr>
        <w:spacing w:after="20"/>
      </w:pPr>
    </w:p>
    <w:p>
      <w:pPr>
        <w:pStyle w:val="Heading1"/>
      </w:pPr>
      <w:r>
        <w:t>8. Base et connexions</w:t>
      </w:r>
    </w:p>
    <w:p>
      <w:pPr>
        <w:pStyle w:val="ListBullet"/>
        <w:spacing w:after="40"/>
      </w:pPr>
      <w:r>
        <w:t>DATABASE_URL : connexion runtime/poolée compatible Vercel.</w:t>
      </w:r>
    </w:p>
    <w:p>
      <w:pPr>
        <w:pStyle w:val="ListBullet"/>
        <w:spacing w:after="40"/>
      </w:pPr>
      <w:r>
        <w:t>DIRECT_URL : migrations/administration si nécessaire.</w:t>
      </w:r>
    </w:p>
    <w:p>
      <w:pPr>
        <w:pStyle w:val="ListBullet"/>
        <w:spacing w:after="40"/>
      </w:pPr>
      <w:r>
        <w:t>Prisma singleton correctement géré en serverless.</w:t>
      </w:r>
    </w:p>
    <w:p>
      <w:pPr>
        <w:pStyle w:val="ListBullet"/>
        <w:spacing w:after="40"/>
      </w:pPr>
      <w:r>
        <w:t>Transactions pour vente, réservation, approbation Revendeur et autres opérations multi-tables.</w:t>
      </w:r>
    </w:p>
    <w:p>
      <w:pPr>
        <w:pStyle w:val="Heading1"/>
      </w:pPr>
      <w:r>
        <w:t>9. Internationalisation</w:t>
      </w:r>
    </w:p>
    <w:p>
      <w:r>
        <w:t>Next.js doit charger les traductions FR/EN/AR ; l’arabe active dir="rtl". Les contenus CMS traduits viennent de la base ; les libellés statiques restent versionnés dans GitHub.</w:t>
      </w:r>
    </w:p>
    <w:p>
      <w:pPr>
        <w:pStyle w:val="Heading1"/>
      </w:pPr>
      <w:r>
        <w:t>10. Prix et change</w:t>
      </w:r>
    </w:p>
    <w:p>
      <w:r>
        <w:t>PricingService centralise Standard/Revendeur, promotions, composantes véhicule/transport, devise d’affichage et taux de change. Le frontend ne sélectionne jamais lui-même une grille tarifaire.</w:t>
      </w:r>
    </w:p>
    <w:p>
      <w:pPr>
        <w:pStyle w:val="Heading1"/>
      </w:pPr>
      <w:r>
        <w:t>11. Sécurité et secrets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00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Secret / variable</w:t>
            </w:r>
          </w:p>
        </w:tc>
        <w:tc>
          <w:tcPr>
            <w:tcW w:type="dxa" w:w="294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Emplacement</w:t>
            </w:r>
          </w:p>
        </w:tc>
        <w:tc>
          <w:tcPr>
            <w:tcW w:type="dxa" w:w="311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Exposition navigateur</w:t>
            </w:r>
          </w:p>
        </w:tc>
      </w:tr>
      <w:tr>
        <w:tc>
          <w:tcPr>
            <w:tcW w:type="dxa" w:w="30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NEXT_PUBLIC_SUPABASE_URL</w:t>
            </w:r>
          </w:p>
        </w:tc>
        <w:tc>
          <w:tcPr>
            <w:tcW w:type="dxa" w:w="294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env</w:t>
            </w:r>
          </w:p>
        </w:tc>
        <w:tc>
          <w:tcPr>
            <w:tcW w:type="dxa" w:w="311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30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NEXT_PUBLIC_SUPABASE_ANON_KEY</w:t>
            </w:r>
          </w:p>
        </w:tc>
        <w:tc>
          <w:tcPr>
            <w:tcW w:type="dxa" w:w="294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env</w:t>
            </w:r>
          </w:p>
        </w:tc>
        <w:tc>
          <w:tcPr>
            <w:tcW w:type="dxa" w:w="311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Oui, avec RLS</w:t>
            </w:r>
          </w:p>
        </w:tc>
      </w:tr>
      <w:tr>
        <w:tc>
          <w:tcPr>
            <w:tcW w:type="dxa" w:w="30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SUPABASE_SERVICE_ROLE_KEY</w:t>
            </w:r>
          </w:p>
        </w:tc>
        <w:tc>
          <w:tcPr>
            <w:tcW w:type="dxa" w:w="294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server only</w:t>
            </w:r>
          </w:p>
        </w:tc>
        <w:tc>
          <w:tcPr>
            <w:tcW w:type="dxa" w:w="311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Jamais</w:t>
            </w:r>
          </w:p>
        </w:tc>
      </w:tr>
      <w:tr>
        <w:tc>
          <w:tcPr>
            <w:tcW w:type="dxa" w:w="30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DATABASE_URL</w:t>
            </w:r>
          </w:p>
        </w:tc>
        <w:tc>
          <w:tcPr>
            <w:tcW w:type="dxa" w:w="294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server only</w:t>
            </w:r>
          </w:p>
        </w:tc>
        <w:tc>
          <w:tcPr>
            <w:tcW w:type="dxa" w:w="311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Jamais</w:t>
            </w:r>
          </w:p>
        </w:tc>
      </w:tr>
      <w:tr>
        <w:tc>
          <w:tcPr>
            <w:tcW w:type="dxa" w:w="30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DIRECT_URL</w:t>
            </w:r>
          </w:p>
        </w:tc>
        <w:tc>
          <w:tcPr>
            <w:tcW w:type="dxa" w:w="294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CI/admin server only</w:t>
            </w:r>
          </w:p>
        </w:tc>
        <w:tc>
          <w:tcPr>
            <w:tcW w:type="dxa" w:w="311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Jamais</w:t>
            </w:r>
          </w:p>
        </w:tc>
      </w:tr>
      <w:tr>
        <w:tc>
          <w:tcPr>
            <w:tcW w:type="dxa" w:w="30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APP_URL</w:t>
            </w:r>
          </w:p>
        </w:tc>
        <w:tc>
          <w:tcPr>
            <w:tcW w:type="dxa" w:w="294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env</w:t>
            </w:r>
          </w:p>
        </w:tc>
        <w:tc>
          <w:tcPr>
            <w:tcW w:type="dxa" w:w="311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 sensible</w:t>
            </w:r>
          </w:p>
        </w:tc>
      </w:tr>
    </w:tbl>
    <w:p>
      <w:pPr>
        <w:spacing w:after="20"/>
      </w:pPr>
    </w:p>
    <w:p>
      <w:pPr>
        <w:pStyle w:val="Heading1"/>
      </w:pPr>
      <w:r>
        <w:t>12. Performance</w:t>
      </w:r>
    </w:p>
    <w:p>
      <w:pPr>
        <w:pStyle w:val="ListBullet"/>
        <w:spacing w:after="40"/>
      </w:pPr>
      <w:r>
        <w:t>Server Components pour lecture catalogue et SEO.</w:t>
      </w:r>
    </w:p>
    <w:p>
      <w:pPr>
        <w:pStyle w:val="ListBullet"/>
        <w:spacing w:after="40"/>
      </w:pPr>
      <w:r>
        <w:t>Images responsives et lazy loading.</w:t>
      </w:r>
    </w:p>
    <w:p>
      <w:pPr>
        <w:pStyle w:val="ListBullet"/>
        <w:spacing w:after="40"/>
      </w:pPr>
      <w:r>
        <w:t>Pagination serveur.</w:t>
      </w:r>
    </w:p>
    <w:p>
      <w:pPr>
        <w:pStyle w:val="ListBullet"/>
        <w:spacing w:after="40"/>
      </w:pPr>
      <w:r>
        <w:t>Cache modéré sur référentiels ; prix/disponibilité avec revalidation courte/explicite.</w:t>
      </w:r>
    </w:p>
    <w:p>
      <w:pPr>
        <w:pStyle w:val="ListBullet"/>
        <w:spacing w:after="40"/>
      </w:pPr>
      <w:r>
        <w:t>Pas d’Elasticsearch en V1 ; PostgreSQL + index/trigram suffisent au volume initial.</w:t>
      </w:r>
    </w:p>
    <w:p>
      <w:pPr>
        <w:pStyle w:val="Heading1"/>
      </w:pPr>
      <w:r>
        <w:t>13. Observabilité</w:t>
      </w:r>
    </w:p>
    <w:p>
      <w:pPr>
        <w:pStyle w:val="ListBullet"/>
        <w:spacing w:after="40"/>
      </w:pPr>
      <w:r>
        <w:t>Logs Vercel structurés.</w:t>
      </w:r>
    </w:p>
    <w:p>
      <w:pPr>
        <w:pStyle w:val="ListBullet"/>
        <w:spacing w:after="40"/>
      </w:pPr>
      <w:r>
        <w:t>Audit métier en base.</w:t>
      </w:r>
    </w:p>
    <w:p>
      <w:pPr>
        <w:pStyle w:val="ListBullet"/>
        <w:spacing w:after="40"/>
      </w:pPr>
      <w:r>
        <w:t>Error tracking intégrable sans couplage fort.</w:t>
      </w:r>
    </w:p>
    <w:p>
      <w:pPr>
        <w:pStyle w:val="ListBullet"/>
        <w:spacing w:after="40"/>
      </w:pPr>
      <w:r>
        <w:t>Corrélation requête/utilisateur/entité pour incidents.</w:t>
      </w:r>
    </w:p>
    <w:p>
      <w:pPr>
        <w:pStyle w:val="Heading1"/>
      </w:pPr>
      <w:r>
        <w:t>14. Contraintes imposées à l’IA</w:t>
      </w:r>
    </w:p>
    <w:p>
      <w:pPr>
        <w:pStyle w:val="ListBullet"/>
        <w:spacing w:after="40"/>
      </w:pPr>
      <w:r>
        <w:t>Ne pas créer de backend séparé sans justification approuvée.</w:t>
      </w:r>
    </w:p>
    <w:p>
      <w:pPr>
        <w:pStyle w:val="ListBullet"/>
        <w:spacing w:after="40"/>
      </w:pPr>
      <w:r>
        <w:t>Ne pas utiliser Supabase SDK partout : Prisma pour métier, Supabase SDK pour Auth/Storage/spécifique Supabase.</w:t>
      </w:r>
    </w:p>
    <w:p>
      <w:pPr>
        <w:pStyle w:val="ListBullet"/>
        <w:spacing w:after="40"/>
      </w:pPr>
      <w:r>
        <w:t>Ne jamais exposer service role, coûts internes ou tarif Revendeur à un utilisateur non autorisé.</w:t>
      </w:r>
    </w:p>
    <w:p>
      <w:pPr>
        <w:pStyle w:val="ListBullet"/>
        <w:spacing w:after="40"/>
      </w:pPr>
      <w:r>
        <w:t>Ne pas coder en dur marques, options, règles import ou numéro WhatsApp dans les composants.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04  |  Architecture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