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 Auto</w:t>
      </w:r>
    </w:p>
    <w:p>
      <w:pPr>
        <w:jc w:val="center"/>
      </w:pPr>
      <w:r>
        <w:rPr>
          <w:b/>
          <w:color w:val="12B1FC"/>
          <w:sz w:val="20"/>
        </w:rPr>
        <w:t>DOCUMENT 08</w:t>
      </w:r>
    </w:p>
    <w:p>
      <w:pPr>
        <w:pStyle w:val="Title"/>
        <w:jc w:val="center"/>
      </w:pPr>
      <w:r>
        <w:t>Catalogue des règles métier</w:t>
      </w:r>
    </w:p>
    <w:p>
      <w:pPr>
        <w:jc w:val="center"/>
      </w:pPr>
      <w:r>
        <w:rPr>
          <w:color w:val="5B6676"/>
          <w:sz w:val="22"/>
        </w:rPr>
        <w:t>Règles fonctionnelles exécutables de Diaba Auto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 Auto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 Auto.</w:t>
      </w:r>
    </w:p>
    <w:p>
      <w:r>
        <w:br w:type="page"/>
      </w:r>
    </w:p>
    <w:p>
      <w:pPr>
        <w:pStyle w:val="Heading1"/>
      </w:pPr>
      <w:r>
        <w:t>1. Convention</w:t>
      </w:r>
    </w:p>
    <w:p>
      <w:r>
        <w:t>Chaque règle possède un identifiant stable BR-xxx. Les tests du document 14 doivent référencer ces identifiants lorsque pertinent.</w:t>
      </w:r>
    </w:p>
    <w:p>
      <w:pPr>
        <w:pStyle w:val="Heading1"/>
      </w:pPr>
      <w:r>
        <w:t>2. Clients et tarification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BR-001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visiteur peut consulter le catalogue sans compte.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BR-002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Tout utilisateur client possède un profil tarifaire STANDARD ou RESELLER.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BR-003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Revendeur non APPROVED reçoit le tarif Standard.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BR-004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prix Revendeur n’est calculé et retourné qu’après vérification serveur.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BR-005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tarif Revendeur absent retombe sur le tarif Standard.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BR-006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prix véhicule et le transport sont deux composantes distinctes.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BR-007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conversions XOF/USD utilisent le taux courant approuvé par PricingService.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BR-008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coûts fournisseur, marges et notes internes ne sont jamais publics.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BR-009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changement de prix crée un historique.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BR-010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promotions respectent une période de validité et priment sur le prix régulier actif.</w:t>
            </w:r>
          </w:p>
        </w:tc>
      </w:tr>
    </w:tbl>
    <w:p>
      <w:pPr>
        <w:spacing w:after="20"/>
      </w:pPr>
    </w:p>
    <w:p>
      <w:pPr>
        <w:pStyle w:val="Heading1"/>
      </w:pPr>
      <w:r>
        <w:t>3. Véhicules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BR-020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véhicule publié doit disposer d’une référence unique, marque, modèle, année, condition, localisation, statut, média principal et information de prix.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BR-021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Localisation logistique et statut commercial sont indépendants.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BR-022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véhicule SOLD n’apparaît plus dans les résultats “disponibles” mais son historique est conservé.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BR-023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véhicule RESERVED reste consultable avec badge explicite.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BR-024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Une seule image peut être primaire.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BR-025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médias peuvent être images ou vidéos ; l’ordre est administrable.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BR-026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véhicule occasion doit renseigner le kilométrage sauf exception explicitement autorisée par un administrateur.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BR-027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rapport d’inspection est privé par défaut et partageable sur demande.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BR-028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marques, modèles, options et features sont administrables, pas hardcodés.</w:t>
            </w:r>
          </w:p>
        </w:tc>
      </w:tr>
    </w:tbl>
    <w:p>
      <w:pPr>
        <w:spacing w:after="20"/>
      </w:pPr>
    </w:p>
    <w:p>
      <w:pPr>
        <w:pStyle w:val="Heading1"/>
      </w:pPr>
      <w:r>
        <w:t>4. Import / éligibilité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BR-040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règles d’import sont configurables par date d’effet et catégorie ; elles ne sont pas codées en dur.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BR-041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L’âge du véhicule peut participer à l’éligibilité.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BR-042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véhicule NOT_ELIGIBLE est signalé explicitement.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BR-043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REVIEW_REQUIRED impose une vérification humaine avant présentation comme importable.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BR-044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Toute modification d’une règle réglementaire doit être auditée.</w:t>
            </w:r>
          </w:p>
        </w:tc>
      </w:tr>
    </w:tbl>
    <w:p>
      <w:pPr>
        <w:spacing w:after="20"/>
      </w:pPr>
    </w:p>
    <w:p>
      <w:pPr>
        <w:pStyle w:val="Heading1"/>
      </w:pPr>
      <w:r>
        <w:t>5. Favoris et My Diaba Auto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BR-060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visiteur peut avoir des favoris locaux.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BR-061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client connecté a des favoris synchronisés en base.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BR-062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même client ne peut enregistrer deux fois le même véhicule.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BR-063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véhicule vendu reste visible dans les favoris avec statut SOLD.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BR-064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prix affiché dans un favori est recalculé au moment de l’affichage, jamais figé à l’ajout.</w:t>
            </w:r>
          </w:p>
        </w:tc>
      </w:tr>
    </w:tbl>
    <w:p>
      <w:pPr>
        <w:spacing w:after="20"/>
      </w:pPr>
    </w:p>
    <w:p>
      <w:pPr>
        <w:pStyle w:val="Heading1"/>
      </w:pPr>
      <w:r>
        <w:t>6. CRM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BR-080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Chaque demande commerciale peut être associée à un lead et à une source.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BR-081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interactions significatives sont conservées dans la timeline.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BR-082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lead peut être affecté à un commercial.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BR-083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résultats LOST et COMPLETED ne suppriment pas l’historique.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BR-084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clic WhatsApp véhicule est tracké même s’il ne crée pas automatiquement un lead nominatif.</w:t>
            </w:r>
          </w:p>
        </w:tc>
      </w:tr>
    </w:tbl>
    <w:p>
      <w:pPr>
        <w:spacing w:after="20"/>
      </w:pPr>
    </w:p>
    <w:p>
      <w:pPr>
        <w:pStyle w:val="Heading1"/>
      </w:pPr>
      <w:r>
        <w:t>7. Réservation et commande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BR-100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Une réservation bloque commercialement le véhicule selon la politique définie.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BR-101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acompte peut être requis mais est encaissé hors plateforme V1.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BR-102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Diaba Auto peut enregistrer montant, devise, statut et référence externe de l’acompte sans exécuter de paiement.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BR-103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La création d’une commande active doit vérifier que le véhicule n’a pas déjà une commande active incompatible.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BR-104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passage SOLD et la création/confirmation de commande s’effectuent dans une transaction.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BR-105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prix convenus de commande sont historisés indépendamment des prix catalogue ultérieurs.</w:t>
            </w:r>
          </w:p>
        </w:tc>
      </w:tr>
    </w:tbl>
    <w:p>
      <w:pPr>
        <w:spacing w:after="20"/>
      </w:pPr>
    </w:p>
    <w:p>
      <w:pPr>
        <w:pStyle w:val="Heading1"/>
      </w:pPr>
      <w:r>
        <w:t>8. WhatsApp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BR-120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numéro principal provient des paramètres et vaut initialement +221 78 225 40 40.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BR-121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message véhicule contient au minimum nom, référence et lien.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BR-122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Pour un Revendeur APPROVED, le message peut inclure le tarif applicable ; le commercial le revérifie toujours dans Diaba Auto.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BR-123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message WhatsApp ne constitue pas un devis contractuel.</w:t>
            </w:r>
          </w:p>
        </w:tc>
      </w:tr>
    </w:tbl>
    <w:p>
      <w:pPr>
        <w:spacing w:after="20"/>
      </w:pPr>
    </w:p>
    <w:p>
      <w:pPr>
        <w:pStyle w:val="Heading1"/>
      </w:pPr>
      <w:r>
        <w:t>9. Internationalisation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BR-140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FR, EN et AR sont supportés côté interface.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BR-141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choix de langue est mémorisé pour un client connecté.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BR-142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L’arabe active RTL sans modifier les identifiants, références ou montants.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BR-143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Tout nouveau texte UI doit passer par le système i18n, pas être dupliqué en dur dans les composants.</w:t>
            </w:r>
          </w:p>
        </w:tc>
      </w:tr>
    </w:tbl>
    <w:p>
      <w:pPr>
        <w:spacing w:after="20"/>
      </w:pPr>
    </w:p>
    <w:p>
      <w:pPr>
        <w:pStyle w:val="Heading1"/>
      </w:pPr>
      <w:r>
        <w:t>10. Priorisation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AFF"/>
            <w:tcBorders>
              <w:top w:val="single" w:sz="3" w:color="C7D8EB"/>
              <w:left w:val="single" w:sz="20" w:color="12B1FC"/>
              <w:bottom w:val="single" w:sz="3" w:color="C7D8EB"/>
              <w:right w:val="single" w:sz="3" w:color="C7D8EB"/>
            </w:tcBorders>
          </w:tcPr>
          <w:p>
            <w:r>
              <w:rPr>
                <w:b/>
                <w:color w:val="12B1FC"/>
                <w:sz w:val="18"/>
              </w:rPr>
              <w:t xml:space="preserve">Cadrage complémentaire — </w:t>
            </w:r>
            <w:r>
              <w:rPr>
                <w:color w:val="142033"/>
                <w:sz w:val="18"/>
              </w:rPr>
              <w:t>Recherche/filtres, fiche photo+vidéo, WhatsApp, favoris et partage sont indispensables au lancement. Les autres fonctions restent conçues sans être obligatoirement activées dans le premier lot.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 Auto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 Auto  |  08  |  Catalogue des règles métier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