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23160" cy="806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806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0165E3"/>
          <w:sz w:val="56"/>
        </w:rPr>
        <w:t>Diaba Auto</w:t>
      </w:r>
    </w:p>
    <w:p>
      <w:pPr>
        <w:jc w:val="center"/>
      </w:pPr>
      <w:r>
        <w:rPr>
          <w:b/>
          <w:color w:val="12B1FC"/>
          <w:sz w:val="20"/>
        </w:rPr>
        <w:t>DOCUMENT 14</w:t>
      </w:r>
    </w:p>
    <w:p>
      <w:pPr>
        <w:pStyle w:val="Title"/>
        <w:jc w:val="center"/>
      </w:pPr>
      <w:r>
        <w:t>Cahier de tests et critères d’acceptation</w:t>
      </w:r>
    </w:p>
    <w:p>
      <w:pPr>
        <w:jc w:val="center"/>
      </w:pPr>
      <w:r>
        <w:rPr>
          <w:color w:val="5B6676"/>
          <w:sz w:val="22"/>
        </w:rPr>
        <w:t>Validation fonctionnelle, technique, sécurité et UX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Version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1.0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Date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28 septembre 2026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Statut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Référence projet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Périmètre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Diaba Auto - Chine → Sénégal</w:t>
            </w:r>
          </w:p>
        </w:tc>
      </w:tr>
    </w:tbl>
    <w:p>
      <w:pPr>
        <w:spacing w:before="320"/>
        <w:jc w:val="center"/>
      </w:pPr>
      <w:r>
        <w:rPr>
          <w:i/>
          <w:color w:val="5B6676"/>
          <w:sz w:val="16"/>
        </w:rPr>
        <w:t>Document de travail confidentiel - Toute évolution structurante doit rester cohérente avec le corpus Diaba Auto.</w:t>
      </w:r>
    </w:p>
    <w:p>
      <w:r>
        <w:br w:type="page"/>
      </w:r>
    </w:p>
    <w:p>
      <w:pPr>
        <w:pStyle w:val="Heading1"/>
      </w:pPr>
      <w:r>
        <w:t>1. Niveaux de test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2268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Niveau</w:t>
            </w:r>
          </w:p>
        </w:tc>
        <w:tc>
          <w:tcPr>
            <w:tcW w:type="dxa" w:w="6803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Cible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Unitaires</w:t>
            </w:r>
          </w:p>
        </w:tc>
        <w:tc>
          <w:tcPr>
            <w:tcW w:type="dxa" w:w="6803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PricingService, EligibilityService, règles métier</w:t>
            </w:r>
          </w:p>
        </w:tc>
      </w:tr>
      <w:tr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Intégration</w:t>
            </w:r>
          </w:p>
        </w:tc>
        <w:tc>
          <w:tcPr>
            <w:tcW w:type="dxa" w:w="6803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Prisma/Supabase, transactions, RLS, Storage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E2E</w:t>
            </w:r>
          </w:p>
        </w:tc>
        <w:tc>
          <w:tcPr>
            <w:tcW w:type="dxa" w:w="6803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Parcours public, My Diaba Auto, back-office</w:t>
            </w:r>
          </w:p>
        </w:tc>
      </w:tr>
      <w:tr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Sécurité</w:t>
            </w:r>
          </w:p>
        </w:tc>
        <w:tc>
          <w:tcPr>
            <w:tcW w:type="dxa" w:w="6803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RBAC, RLS, accès direct API, uploads, rate limit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Performance</w:t>
            </w:r>
          </w:p>
        </w:tc>
        <w:tc>
          <w:tcPr>
            <w:tcW w:type="dxa" w:w="6803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Catalogue, images, requêtes</w:t>
            </w:r>
          </w:p>
        </w:tc>
      </w:tr>
      <w:tr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Responsive/i18n</w:t>
            </w:r>
          </w:p>
        </w:tc>
        <w:tc>
          <w:tcPr>
            <w:tcW w:type="dxa" w:w="6803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360/390/768/1440, FR/EN/AR/RTL</w:t>
            </w:r>
          </w:p>
        </w:tc>
      </w:tr>
    </w:tbl>
    <w:p>
      <w:pPr>
        <w:spacing w:after="20"/>
      </w:pPr>
    </w:p>
    <w:p>
      <w:pPr>
        <w:pStyle w:val="Heading1"/>
      </w:pPr>
      <w:r>
        <w:t>2. Cas critiques - prix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1814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855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Précondition</w:t>
            </w:r>
          </w:p>
        </w:tc>
        <w:tc>
          <w:tcPr>
            <w:tcW w:type="dxa" w:w="3402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Résultat attendu</w:t>
            </w:r>
          </w:p>
        </w:tc>
      </w:tr>
      <w:tr>
        <w:tc>
          <w:tcPr>
            <w:tcW w:type="dxa" w:w="181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T-PRICE-01</w:t>
            </w:r>
          </w:p>
        </w:tc>
        <w:tc>
          <w:tcPr>
            <w:tcW w:type="dxa" w:w="385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Visiteur ; prix Std=15.9M, Rev=14.8M</w:t>
            </w:r>
          </w:p>
        </w:tc>
        <w:tc>
          <w:tcPr>
            <w:tcW w:type="dxa" w:w="340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15.9M uniquement</w:t>
            </w:r>
          </w:p>
        </w:tc>
      </w:tr>
      <w:tr>
        <w:tc>
          <w:tcPr>
            <w:tcW w:type="dxa" w:w="181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T-PRICE-02</w:t>
            </w:r>
          </w:p>
        </w:tc>
        <w:tc>
          <w:tcPr>
            <w:tcW w:type="dxa" w:w="385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Standard connecté</w:t>
            </w:r>
          </w:p>
        </w:tc>
        <w:tc>
          <w:tcPr>
            <w:tcW w:type="dxa" w:w="340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15.9M uniquement</w:t>
            </w:r>
          </w:p>
        </w:tc>
      </w:tr>
      <w:tr>
        <w:tc>
          <w:tcPr>
            <w:tcW w:type="dxa" w:w="181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T-PRICE-03</w:t>
            </w:r>
          </w:p>
        </w:tc>
        <w:tc>
          <w:tcPr>
            <w:tcW w:type="dxa" w:w="385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Revendeur PENDING</w:t>
            </w:r>
          </w:p>
        </w:tc>
        <w:tc>
          <w:tcPr>
            <w:tcW w:type="dxa" w:w="340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15.9M</w:t>
            </w:r>
          </w:p>
        </w:tc>
      </w:tr>
      <w:tr>
        <w:tc>
          <w:tcPr>
            <w:tcW w:type="dxa" w:w="181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T-PRICE-04</w:t>
            </w:r>
          </w:p>
        </w:tc>
        <w:tc>
          <w:tcPr>
            <w:tcW w:type="dxa" w:w="385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Revendeur APPROVED</w:t>
            </w:r>
          </w:p>
        </w:tc>
        <w:tc>
          <w:tcPr>
            <w:tcW w:type="dxa" w:w="340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14.8M ; label Revendeur</w:t>
            </w:r>
          </w:p>
        </w:tc>
      </w:tr>
      <w:tr>
        <w:tc>
          <w:tcPr>
            <w:tcW w:type="dxa" w:w="181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T-PRICE-05</w:t>
            </w:r>
          </w:p>
        </w:tc>
        <w:tc>
          <w:tcPr>
            <w:tcW w:type="dxa" w:w="385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Appel API direct par Standard</w:t>
            </w:r>
          </w:p>
        </w:tc>
        <w:tc>
          <w:tcPr>
            <w:tcW w:type="dxa" w:w="340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Aucun prix Revendeur</w:t>
            </w:r>
          </w:p>
        </w:tc>
      </w:tr>
      <w:tr>
        <w:tc>
          <w:tcPr>
            <w:tcW w:type="dxa" w:w="181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T-PRICE-06</w:t>
            </w:r>
          </w:p>
        </w:tc>
        <w:tc>
          <w:tcPr>
            <w:tcW w:type="dxa" w:w="385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Tarif Revendeur absent</w:t>
            </w:r>
          </w:p>
        </w:tc>
        <w:tc>
          <w:tcPr>
            <w:tcW w:type="dxa" w:w="340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Fallback Standard</w:t>
            </w:r>
          </w:p>
        </w:tc>
      </w:tr>
    </w:tbl>
    <w:p>
      <w:pPr>
        <w:spacing w:after="20"/>
      </w:pPr>
    </w:p>
    <w:p>
      <w:pPr>
        <w:pStyle w:val="Heading1"/>
      </w:pPr>
      <w:r>
        <w:t>3. Cas critiques - véhicule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1701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685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Scénario</w:t>
            </w:r>
          </w:p>
        </w:tc>
        <w:tc>
          <w:tcPr>
            <w:tcW w:type="dxa" w:w="3685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Attendu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T-VEH-01</w:t>
            </w:r>
          </w:p>
        </w:tc>
        <w:tc>
          <w:tcPr>
            <w:tcW w:type="dxa" w:w="368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Publication incomplète</w:t>
            </w:r>
          </w:p>
        </w:tc>
        <w:tc>
          <w:tcPr>
            <w:tcW w:type="dxa" w:w="368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Bloquée + liste champs</w:t>
            </w:r>
          </w:p>
        </w:tc>
      </w:tr>
      <w:tr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T-VEH-02</w:t>
            </w:r>
          </w:p>
        </w:tc>
        <w:tc>
          <w:tcPr>
            <w:tcW w:type="dxa" w:w="368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Passage SOLD</w:t>
            </w:r>
          </w:p>
        </w:tc>
        <w:tc>
          <w:tcPr>
            <w:tcW w:type="dxa" w:w="368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Retiré des disponibles, historique conservé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T-VEH-03</w:t>
            </w:r>
          </w:p>
        </w:tc>
        <w:tc>
          <w:tcPr>
            <w:tcW w:type="dxa" w:w="368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Véhicule favori vendu</w:t>
            </w:r>
          </w:p>
        </w:tc>
        <w:tc>
          <w:tcPr>
            <w:tcW w:type="dxa" w:w="368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Favori reste visible avec SOLD</w:t>
            </w:r>
          </w:p>
        </w:tc>
      </w:tr>
      <w:tr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T-VEH-04</w:t>
            </w:r>
          </w:p>
        </w:tc>
        <w:tc>
          <w:tcPr>
            <w:tcW w:type="dxa" w:w="368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Non éligible import</w:t>
            </w:r>
          </w:p>
        </w:tc>
        <w:tc>
          <w:tcPr>
            <w:tcW w:type="dxa" w:w="368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Badge/alerte explicite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T-VEH-05</w:t>
            </w:r>
          </w:p>
        </w:tc>
        <w:tc>
          <w:tcPr>
            <w:tcW w:type="dxa" w:w="368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Vidéo véhicule</w:t>
            </w:r>
          </w:p>
        </w:tc>
        <w:tc>
          <w:tcPr>
            <w:tcW w:type="dxa" w:w="368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Lecture/aperçu sans bloquer la page</w:t>
            </w:r>
          </w:p>
        </w:tc>
      </w:tr>
    </w:tbl>
    <w:p>
      <w:pPr>
        <w:spacing w:after="20"/>
      </w:pPr>
    </w:p>
    <w:p>
      <w:pPr>
        <w:pStyle w:val="Heading1"/>
      </w:pPr>
      <w:r>
        <w:t>4. Cas My Diaba Auto</w:t>
      </w:r>
    </w:p>
    <w:p>
      <w:pPr>
        <w:pStyle w:val="ListBullet"/>
        <w:spacing w:after="40"/>
      </w:pPr>
      <w:r>
        <w:t>Inscription Standard, vérification session, ajout favori, déconnexion/reconnexion, favori conservé.</w:t>
      </w:r>
    </w:p>
    <w:p>
      <w:pPr>
        <w:pStyle w:val="ListBullet"/>
        <w:spacing w:after="40"/>
      </w:pPr>
      <w:r>
        <w:t>Migration des favoris locaux lors de la connexion si implémentée.</w:t>
      </w:r>
    </w:p>
    <w:p>
      <w:pPr>
        <w:pStyle w:val="ListBullet"/>
        <w:spacing w:after="40"/>
      </w:pPr>
      <w:r>
        <w:t>Demande Revendeur puis approbation : tarif change au prochain calcul.</w:t>
      </w:r>
    </w:p>
    <w:p>
      <w:pPr>
        <w:pStyle w:val="ListBullet"/>
        <w:spacing w:after="40"/>
      </w:pPr>
      <w:r>
        <w:t>Un client ne peut pas accéder aux commandes d’un autre client en modifiant URL/ID.</w:t>
      </w:r>
    </w:p>
    <w:p>
      <w:pPr>
        <w:pStyle w:val="Heading1"/>
      </w:pPr>
      <w:r>
        <w:t>5. Cas réservation/commande</w:t>
      </w:r>
    </w:p>
    <w:p>
      <w:pPr>
        <w:pStyle w:val="ListBullet"/>
        <w:spacing w:after="40"/>
      </w:pPr>
      <w:r>
        <w:t>Double clic réservation → une seule réservation.</w:t>
      </w:r>
    </w:p>
    <w:p>
      <w:pPr>
        <w:pStyle w:val="ListBullet"/>
        <w:spacing w:after="40"/>
      </w:pPr>
      <w:r>
        <w:t>Acompte externe : preuve enregistrée sans création de paiement.</w:t>
      </w:r>
    </w:p>
    <w:p>
      <w:pPr>
        <w:pStyle w:val="ListBullet"/>
        <w:spacing w:after="40"/>
      </w:pPr>
      <w:r>
        <w:t>Deux commandes concurrentes sur même véhicule → conflit.</w:t>
      </w:r>
    </w:p>
    <w:p>
      <w:pPr>
        <w:pStyle w:val="ListBullet"/>
        <w:spacing w:after="40"/>
      </w:pPr>
      <w:r>
        <w:t>Vente transactionnelle : commande + véhicule SOLD + audit.</w:t>
      </w:r>
    </w:p>
    <w:p>
      <w:pPr>
        <w:pStyle w:val="Heading1"/>
      </w:pPr>
      <w:r>
        <w:t>6. RLS / sécurité</w:t>
      </w:r>
    </w:p>
    <w:p>
      <w:pPr>
        <w:pStyle w:val="ListBullet"/>
        <w:spacing w:after="40"/>
      </w:pPr>
      <w:r>
        <w:t>Anon key ne permet pas lecture de vehicle_costs/audit.</w:t>
      </w:r>
    </w:p>
    <w:p>
      <w:pPr>
        <w:pStyle w:val="ListBullet"/>
        <w:spacing w:after="40"/>
      </w:pPr>
      <w:r>
        <w:t>Service role absent du bundle client.</w:t>
      </w:r>
    </w:p>
    <w:p>
      <w:pPr>
        <w:pStyle w:val="ListBullet"/>
        <w:spacing w:after="40"/>
      </w:pPr>
      <w:r>
        <w:t>Upload document privé interdit au client.</w:t>
      </w:r>
    </w:p>
    <w:p>
      <w:pPr>
        <w:pStyle w:val="ListBullet"/>
        <w:spacing w:after="40"/>
      </w:pPr>
      <w:r>
        <w:t>Fichier non-image envoyé dans vehicle-media rejeté.</w:t>
      </w:r>
    </w:p>
    <w:p>
      <w:pPr>
        <w:pStyle w:val="ListBullet"/>
        <w:spacing w:after="40"/>
      </w:pPr>
      <w:r>
        <w:t>Rate limit sur login, reset et formulaires publics.</w:t>
      </w:r>
    </w:p>
    <w:p>
      <w:pPr>
        <w:pStyle w:val="Heading1"/>
      </w:pPr>
      <w:r>
        <w:t>7. UX / i18n</w:t>
      </w:r>
    </w:p>
    <w:p>
      <w:pPr>
        <w:pStyle w:val="ListBullet"/>
        <w:spacing w:after="40"/>
      </w:pPr>
      <w:r>
        <w:t>360 px : aucun débordement horizontal.</w:t>
      </w:r>
    </w:p>
    <w:p>
      <w:pPr>
        <w:pStyle w:val="ListBullet"/>
        <w:spacing w:after="40"/>
      </w:pPr>
      <w:r>
        <w:t>Arabe : RTL, champs numériques et références corrects.</w:t>
      </w:r>
    </w:p>
    <w:p>
      <w:pPr>
        <w:pStyle w:val="ListBullet"/>
        <w:spacing w:after="40"/>
      </w:pPr>
      <w:r>
        <w:t>FR/EN/AR : navigation et messages d’erreur traduits.</w:t>
      </w:r>
    </w:p>
    <w:p>
      <w:pPr>
        <w:pStyle w:val="ListBullet"/>
        <w:spacing w:after="40"/>
      </w:pPr>
      <w:r>
        <w:t>Images lazy-loadées et alt text présents.</w:t>
      </w:r>
    </w:p>
    <w:p>
      <w:pPr>
        <w:pStyle w:val="Heading1"/>
      </w:pPr>
      <w:r>
        <w:t>8. Definition of Done</w:t>
      </w:r>
    </w:p>
    <w:p>
      <w:pPr>
        <w:pStyle w:val="ListBullet"/>
        <w:spacing w:after="40"/>
      </w:pPr>
      <w:r>
        <w:t>Lint, typecheck, unit tests et build réussissent.</w:t>
      </w:r>
    </w:p>
    <w:p>
      <w:pPr>
        <w:pStyle w:val="ListBullet"/>
        <w:spacing w:after="40"/>
      </w:pPr>
      <w:r>
        <w:t>Tests E2E critiques passent.</w:t>
      </w:r>
    </w:p>
    <w:p>
      <w:pPr>
        <w:pStyle w:val="ListBullet"/>
        <w:spacing w:after="40"/>
      </w:pPr>
      <w:r>
        <w:t>Preview Vercel validée.</w:t>
      </w:r>
    </w:p>
    <w:p>
      <w:pPr>
        <w:pStyle w:val="ListBullet"/>
        <w:spacing w:after="40"/>
      </w:pPr>
      <w:r>
        <w:t>Migration testée.</w:t>
      </w:r>
    </w:p>
    <w:p>
      <w:pPr>
        <w:pStyle w:val="ListBullet"/>
        <w:spacing w:after="40"/>
      </w:pPr>
      <w:r>
        <w:t>Aucun secret exposé.</w:t>
      </w:r>
    </w:p>
    <w:p>
      <w:pPr>
        <w:pStyle w:val="ListBullet"/>
        <w:spacing w:after="40"/>
      </w:pPr>
      <w:r>
        <w:t>Accessibilité et responsive vérifiés.</w:t>
      </w:r>
    </w:p>
    <w:p>
      <w:pPr>
        <w:pStyle w:val="ListBullet"/>
        <w:spacing w:after="40"/>
      </w:pPr>
      <w:r>
        <w:t>Documentation mise à jour.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879" w:right="907" w:bottom="822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676"/>
        <w:sz w:val="15"/>
      </w:rPr>
      <w:t xml:space="preserve">Confidentiel - Projet Diaba Auto  |  Version 1.0  |  </w:t>
    </w:r>
    <w:r>
      <w:rPr>
        <w:color w:val="5B6676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2" w:color="12B1FC"/>
      </w:pBdr>
    </w:pPr>
    <w:r>
      <w:rPr>
        <w:rFonts w:ascii="Arial" w:hAnsi="Arial"/>
        <w:b/>
        <w:color w:val="012E75"/>
        <w:sz w:val="15"/>
      </w:rPr>
      <w:t>Diaba Auto  |  14  |  Cahier de tests et critères d’acceptation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14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12E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165E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143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12E7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</w:pPr>
    <w:rPr>
      <w:rFonts w:ascii="Consolas" w:hAnsi="Consolas"/>
      <w:color w:val="142033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