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423160" cy="80693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423160" cy="806931"/>
                    </a:xfrm>
                    <a:prstGeom prst="rect"/>
                  </pic:spPr>
                </pic:pic>
              </a:graphicData>
            </a:graphic>
          </wp:inline>
        </w:drawing>
      </w:r>
    </w:p>
    <w:p>
      <w:pPr>
        <w:jc w:val="center"/>
      </w:pPr>
      <w:r>
        <w:rPr>
          <w:rFonts w:ascii="Arial" w:hAnsi="Arial"/>
          <w:b/>
          <w:color w:val="0165E3"/>
          <w:sz w:val="56"/>
        </w:rPr>
        <w:t>Diaba Auto</w:t>
      </w:r>
    </w:p>
    <w:p>
      <w:pPr>
        <w:jc w:val="center"/>
      </w:pPr>
      <w:r>
        <w:rPr>
          <w:b/>
          <w:color w:val="12B1FC"/>
          <w:sz w:val="20"/>
        </w:rPr>
        <w:t>DOCUMENT 20</w:t>
      </w:r>
    </w:p>
    <w:p>
      <w:pPr>
        <w:pStyle w:val="Title"/>
        <w:jc w:val="center"/>
      </w:pPr>
      <w:r>
        <w:t>Guide d’administration et d’exploitation</w:t>
      </w:r>
    </w:p>
    <w:p>
      <w:pPr>
        <w:jc w:val="center"/>
      </w:pPr>
      <w:r>
        <w:rPr>
          <w:color w:val="5B6676"/>
          <w:sz w:val="22"/>
        </w:rPr>
        <w:t>Procédures opérationnelles Diaba Auto</w:t>
      </w:r>
    </w:p>
    <w:p/>
    <w:tbl>
      <w:tblPr>
        <w:tblW w:type="auto" w:w="0"/>
        <w:jc w:val="center"/>
        <w:tblLayout w:type="fixed"/>
        <w:tblLook w:firstColumn="1" w:firstRow="1" w:lastColumn="0" w:lastRow="0" w:noHBand="0" w:noVBand="1" w:val="04A0"/>
      </w:tblPr>
      <w:tblGrid>
        <w:gridCol w:w="5213"/>
        <w:gridCol w:w="5213"/>
      </w:tblGrid>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Version</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1.0</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Date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28 septembre 2026</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Statut</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Référence projet</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Périmètre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Diaba Auto - Chine → Sénégal</w:t>
            </w:r>
          </w:p>
        </w:tc>
      </w:tr>
    </w:tbl>
    <w:p>
      <w:pPr>
        <w:spacing w:before="320"/>
        <w:jc w:val="center"/>
      </w:pPr>
      <w:r>
        <w:rPr>
          <w:i/>
          <w:color w:val="5B6676"/>
          <w:sz w:val="16"/>
        </w:rPr>
        <w:t>Document de travail confidentiel - Toute évolution structurante doit rester cohérente avec le corpus Diaba Auto.</w:t>
      </w:r>
    </w:p>
    <w:p>
      <w:r>
        <w:br w:type="page"/>
      </w:r>
    </w:p>
    <w:p>
      <w:pPr>
        <w:pStyle w:val="Heading1"/>
      </w:pPr>
      <w:r>
        <w:t>1. Objectif</w:t>
      </w:r>
    </w:p>
    <w:p>
      <w:r>
        <w:t>Ce guide donne aux équipes Dakar/Chine les procédures quotidiennes pour exploiter Diaba Auto sans intervention développeur.</w:t>
      </w:r>
    </w:p>
    <w:p>
      <w:pPr>
        <w:pStyle w:val="Heading1"/>
      </w:pPr>
      <w:r>
        <w:t>2. Ajouter un véhicule</w:t>
      </w:r>
    </w:p>
    <w:p>
      <w:pPr>
        <w:pStyle w:val="ListNumber"/>
        <w:spacing w:after="40"/>
      </w:pPr>
      <w:r>
        <w:t>Ouvrir Véhicules → Ajouter.</w:t>
      </w:r>
    </w:p>
    <w:p>
      <w:pPr>
        <w:pStyle w:val="ListNumber"/>
        <w:spacing w:after="40"/>
      </w:pPr>
      <w:r>
        <w:t>Sélectionner/créer marque et modèle si nécessaire.</w:t>
      </w:r>
    </w:p>
    <w:p>
      <w:pPr>
        <w:pStyle w:val="ListNumber"/>
        <w:spacing w:after="40"/>
      </w:pPr>
      <w:r>
        <w:t>Renseigner état, année, kilométrage et technique.</w:t>
      </w:r>
    </w:p>
    <w:p>
      <w:pPr>
        <w:pStyle w:val="ListNumber"/>
        <w:spacing w:after="40"/>
      </w:pPr>
      <w:r>
        <w:t>Renseigner source et informations occasion disponibles.</w:t>
      </w:r>
    </w:p>
    <w:p>
      <w:pPr>
        <w:pStyle w:val="ListNumber"/>
        <w:spacing w:after="40"/>
      </w:pPr>
      <w:r>
        <w:t>Définir prix Standard et Revendeur, puis transport séparé.</w:t>
      </w:r>
    </w:p>
    <w:p>
      <w:pPr>
        <w:pStyle w:val="ListNumber"/>
        <w:spacing w:after="40"/>
      </w:pPr>
      <w:r>
        <w:t>Choisir devise et vérifier conversion.</w:t>
      </w:r>
    </w:p>
    <w:p>
      <w:pPr>
        <w:pStyle w:val="ListNumber"/>
        <w:spacing w:after="40"/>
      </w:pPr>
      <w:r>
        <w:t>Renseigner localisation et éligibilité import.</w:t>
      </w:r>
    </w:p>
    <w:p>
      <w:pPr>
        <w:pStyle w:val="ListNumber"/>
        <w:spacing w:after="40"/>
      </w:pPr>
      <w:r>
        <w:t>Téléverser photos et vidéo ; choisir image principale.</w:t>
      </w:r>
    </w:p>
    <w:p>
      <w:pPr>
        <w:pStyle w:val="ListNumber"/>
        <w:spacing w:after="40"/>
      </w:pPr>
      <w:r>
        <w:t>Ajouter documents ; inspection en PRIVATE/SHARE_ON_REQUEST par défaut.</w:t>
      </w:r>
    </w:p>
    <w:p>
      <w:pPr>
        <w:pStyle w:val="ListNumber"/>
        <w:spacing w:after="40"/>
      </w:pPr>
      <w:r>
        <w:t>Prévisualiser ; corriger alertes ; publier.</w:t>
      </w:r>
    </w:p>
    <w:p>
      <w:pPr>
        <w:pStyle w:val="Heading1"/>
      </w:pPr>
      <w:r>
        <w:t>3. Modifier un prix</w:t>
      </w:r>
    </w:p>
    <w:p>
      <w:pPr>
        <w:pStyle w:val="ListNumber"/>
        <w:spacing w:after="40"/>
      </w:pPr>
      <w:r>
        <w:t>Ouvrir le véhicule → Prix.</w:t>
      </w:r>
    </w:p>
    <w:p>
      <w:pPr>
        <w:pStyle w:val="ListNumber"/>
        <w:spacing w:after="40"/>
      </w:pPr>
      <w:r>
        <w:t>Modifier la grille concernée Standard ou Revendeur.</w:t>
      </w:r>
    </w:p>
    <w:p>
      <w:pPr>
        <w:pStyle w:val="ListNumber"/>
        <w:spacing w:after="40"/>
      </w:pPr>
      <w:r>
        <w:t>Conserver transport dans sa composante séparée.</w:t>
      </w:r>
    </w:p>
    <w:p>
      <w:pPr>
        <w:pStyle w:val="ListNumber"/>
        <w:spacing w:after="40"/>
      </w:pPr>
      <w:r>
        <w:t>Vérifier devise et dates de validité.</w:t>
      </w:r>
    </w:p>
    <w:p>
      <w:pPr>
        <w:pStyle w:val="ListNumber"/>
        <w:spacing w:after="40"/>
      </w:pPr>
      <w:r>
        <w:t>Enregistrer ; contrôler l’historique créé et la fiche publique.</w:t>
      </w:r>
    </w:p>
    <w:p>
      <w:pPr>
        <w:pStyle w:val="Heading1"/>
      </w:pPr>
      <w:r>
        <w:t>4. Gérer un Revendeur</w:t>
      </w:r>
    </w:p>
    <w:p>
      <w:pPr>
        <w:pStyle w:val="ListNumber"/>
        <w:spacing w:after="40"/>
      </w:pPr>
      <w:r>
        <w:t>Ouvrir Clients → Demandes Revendeur.</w:t>
      </w:r>
    </w:p>
    <w:p>
      <w:pPr>
        <w:pStyle w:val="ListNumber"/>
        <w:spacing w:after="40"/>
      </w:pPr>
      <w:r>
        <w:t>Vérifier identité et activité.</w:t>
      </w:r>
    </w:p>
    <w:p>
      <w:pPr>
        <w:pStyle w:val="ListNumber"/>
        <w:spacing w:after="40"/>
      </w:pPr>
      <w:r>
        <w:t>Passer UNDER_REVIEW si nécessaire.</w:t>
      </w:r>
    </w:p>
    <w:p>
      <w:pPr>
        <w:pStyle w:val="ListNumber"/>
        <w:spacing w:after="40"/>
      </w:pPr>
      <w:r>
        <w:t>Approuver ou refuser avec motif.</w:t>
      </w:r>
    </w:p>
    <w:p>
      <w:pPr>
        <w:pStyle w:val="ListNumber"/>
        <w:spacing w:after="40"/>
      </w:pPr>
      <w:r>
        <w:t>En cas d’approbation, vérifier que le tarif Revendeur apparaît uniquement pour ce profil.</w:t>
      </w:r>
    </w:p>
    <w:p>
      <w:pPr>
        <w:pStyle w:val="ListNumber"/>
        <w:spacing w:after="40"/>
      </w:pPr>
      <w:r>
        <w:t>Suspendre plutôt que supprimer si le privilège doit être retiré temporairement.</w:t>
      </w:r>
    </w:p>
    <w:p>
      <w:pPr>
        <w:pStyle w:val="Heading1"/>
      </w:pPr>
      <w:r>
        <w:t>5. Gérer un prospect</w:t>
      </w:r>
    </w:p>
    <w:p>
      <w:pPr>
        <w:pStyle w:val="ListNumber"/>
        <w:spacing w:after="40"/>
      </w:pPr>
      <w:r>
        <w:t>Ouvrir Prospects.</w:t>
      </w:r>
    </w:p>
    <w:p>
      <w:pPr>
        <w:pStyle w:val="ListNumber"/>
        <w:spacing w:after="40"/>
      </w:pPr>
      <w:r>
        <w:t>Assigner un commercial.</w:t>
      </w:r>
    </w:p>
    <w:p>
      <w:pPr>
        <w:pStyle w:val="ListNumber"/>
        <w:spacing w:after="40"/>
      </w:pPr>
      <w:r>
        <w:t>Contacter par WhatsApp/téléphone.</w:t>
      </w:r>
    </w:p>
    <w:p>
      <w:pPr>
        <w:pStyle w:val="ListNumber"/>
        <w:spacing w:after="40"/>
      </w:pPr>
      <w:r>
        <w:t>Ajouter une activité et une note.</w:t>
      </w:r>
    </w:p>
    <w:p>
      <w:pPr>
        <w:pStyle w:val="ListNumber"/>
        <w:spacing w:after="40"/>
      </w:pPr>
      <w:r>
        <w:t>Mettre à jour le statut.</w:t>
      </w:r>
    </w:p>
    <w:p>
      <w:pPr>
        <w:pStyle w:val="ListNumber"/>
        <w:spacing w:after="40"/>
      </w:pPr>
      <w:r>
        <w:t>Créer une relance.</w:t>
      </w:r>
    </w:p>
    <w:p>
      <w:pPr>
        <w:pStyle w:val="ListNumber"/>
        <w:spacing w:after="40"/>
      </w:pPr>
      <w:r>
        <w:t>Créer réservation ou commande lorsque l’accord est suffisamment avancé.</w:t>
      </w:r>
    </w:p>
    <w:p>
      <w:pPr>
        <w:pStyle w:val="Heading1"/>
      </w:pPr>
      <w:r>
        <w:t>6. Réserver un véhicule</w:t>
      </w:r>
    </w:p>
    <w:p>
      <w:pPr>
        <w:pStyle w:val="ListNumber"/>
        <w:spacing w:after="40"/>
      </w:pPr>
      <w:r>
        <w:t>Vérifier qu’il est AVAILABLE.</w:t>
      </w:r>
    </w:p>
    <w:p>
      <w:pPr>
        <w:pStyle w:val="ListNumber"/>
        <w:spacing w:after="40"/>
      </w:pPr>
      <w:r>
        <w:t>Créer Reservation.</w:t>
      </w:r>
    </w:p>
    <w:p>
      <w:pPr>
        <w:pStyle w:val="ListNumber"/>
        <w:spacing w:after="40"/>
      </w:pPr>
      <w:r>
        <w:t>Si acompte requis, enregistrer REQUESTED.</w:t>
      </w:r>
    </w:p>
    <w:p>
      <w:pPr>
        <w:pStyle w:val="ListNumber"/>
        <w:spacing w:after="40"/>
      </w:pPr>
      <w:r>
        <w:t>Après preuve externe, saisir montant/référence et passer VERIFIED si contrôlé.</w:t>
      </w:r>
    </w:p>
    <w:p>
      <w:pPr>
        <w:pStyle w:val="ListNumber"/>
        <w:spacing w:after="40"/>
      </w:pPr>
      <w:r>
        <w:t>Confirmer réservation → Vehicle RESERVED.</w:t>
      </w:r>
    </w:p>
    <w:p>
      <w:pPr>
        <w:pStyle w:val="ListNumber"/>
        <w:spacing w:after="40"/>
      </w:pPr>
      <w:r>
        <w:t>Annuler/expirer si nécessaire pour libérer le véhicule.</w:t>
      </w:r>
    </w:p>
    <w:p>
      <w:pPr>
        <w:pStyle w:val="Heading1"/>
      </w:pPr>
      <w:r>
        <w:t>7. Vendre / créer commande</w:t>
      </w:r>
    </w:p>
    <w:p>
      <w:pPr>
        <w:pStyle w:val="ListNumber"/>
        <w:spacing w:after="40"/>
      </w:pPr>
      <w:r>
        <w:t>Depuis le lead ou véhicule, lancer Créer commande.</w:t>
      </w:r>
    </w:p>
    <w:p>
      <w:pPr>
        <w:pStyle w:val="ListNumber"/>
        <w:spacing w:after="40"/>
      </w:pPr>
      <w:r>
        <w:t>Choisir client, commercial et véhicule.</w:t>
      </w:r>
    </w:p>
    <w:p>
      <w:pPr>
        <w:pStyle w:val="ListNumber"/>
        <w:spacing w:after="40"/>
      </w:pPr>
      <w:r>
        <w:t>Saisir prix véhicule convenu et transport convenu séparément.</w:t>
      </w:r>
    </w:p>
    <w:p>
      <w:pPr>
        <w:pStyle w:val="ListNumber"/>
        <w:spacing w:after="40"/>
      </w:pPr>
      <w:r>
        <w:t>Confirmer.</w:t>
      </w:r>
    </w:p>
    <w:p>
      <w:pPr>
        <w:pStyle w:val="ListNumber"/>
        <w:spacing w:after="40"/>
      </w:pPr>
      <w:r>
        <w:t>Vérifier statut véhicule et audit.</w:t>
      </w:r>
    </w:p>
    <w:p>
      <w:pPr>
        <w:pStyle w:val="ListNumber"/>
        <w:spacing w:after="40"/>
      </w:pPr>
      <w:r>
        <w:t>Mettre à jour commande jusqu’à DELIVERED.</w:t>
      </w:r>
    </w:p>
    <w:p>
      <w:pPr>
        <w:pStyle w:val="Heading1"/>
      </w:pPr>
      <w:r>
        <w:t>8. Mettre à jour une règle d’import</w:t>
      </w:r>
    </w:p>
    <w:p>
      <w:pPr>
        <w:pStyle w:val="ListNumber"/>
        <w:spacing w:after="40"/>
      </w:pPr>
      <w:r>
        <w:t>Accéder Paramètres → Import.</w:t>
      </w:r>
    </w:p>
    <w:p>
      <w:pPr>
        <w:pStyle w:val="ListNumber"/>
        <w:spacing w:after="40"/>
      </w:pPr>
      <w:r>
        <w:t>Créer nouvelle règle avec date d’effet et référence source.</w:t>
      </w:r>
    </w:p>
    <w:p>
      <w:pPr>
        <w:pStyle w:val="ListNumber"/>
        <w:spacing w:after="40"/>
      </w:pPr>
      <w:r>
        <w:t>Ne pas écraser silencieusement l’ancienne règle ; la dater/désactiver.</w:t>
      </w:r>
    </w:p>
    <w:p>
      <w:pPr>
        <w:pStyle w:val="ListNumber"/>
        <w:spacing w:after="40"/>
      </w:pPr>
      <w:r>
        <w:t>Tester sur véhicules exemples.</w:t>
      </w:r>
    </w:p>
    <w:p>
      <w:pPr>
        <w:pStyle w:val="ListNumber"/>
        <w:spacing w:after="40"/>
      </w:pPr>
      <w:r>
        <w:t>Contrôler les véhicules REVIEW_REQUIRED/NOT_ELIGIBLE.</w:t>
      </w:r>
    </w:p>
    <w:p>
      <w:pPr>
        <w:pStyle w:val="Heading1"/>
      </w:pPr>
      <w:r>
        <w:t>9. Taux de change</w:t>
      </w:r>
    </w:p>
    <w:p>
      <w:r>
        <w:t>Si une source dynamique est configurée, surveiller la fraîcheur du taux. En cas d’échec, utiliser le dernier taux approuvé ou un taux admin avec indication de sa date. Toute modification manuelle sensible est auditée.</w:t>
      </w:r>
    </w:p>
    <w:p>
      <w:pPr>
        <w:pStyle w:val="Heading1"/>
      </w:pPr>
      <w:r>
        <w:t>10. Incidents courants</w:t>
      </w:r>
    </w:p>
    <w:tbl>
      <w:tblPr>
        <w:tblW w:type="auto" w:w="0"/>
        <w:jc w:val="center"/>
        <w:tblLayout w:type="fixed"/>
        <w:tblLook w:firstColumn="1" w:firstRow="1" w:lastColumn="0" w:lastRow="0" w:noHBand="0" w:noVBand="1" w:val="04A0"/>
      </w:tblPr>
      <w:tblGrid>
        <w:gridCol w:w="5213"/>
        <w:gridCol w:w="5213"/>
      </w:tblGrid>
      <w:tr>
        <w:trPr>
          <w:tblHeader w:val="true"/>
        </w:trPr>
        <w:tc>
          <w:tcPr>
            <w:tcW w:type="dxa" w:w="28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Incident</w:t>
            </w:r>
          </w:p>
        </w:tc>
        <w:tc>
          <w:tcPr>
            <w:tcW w:type="dxa" w:w="6236"/>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Action</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Image ne s’affiche pas</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Vérifier Storage, chemin, visibilité, taille et format</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Prix incorrect</w:t>
            </w:r>
          </w:p>
        </w:tc>
        <w:tc>
          <w:tcPr>
            <w:tcW w:type="dxa" w:w="6236"/>
            <w:vAlign w:val="top"/>
            <w:shd w:fill="F8FBFE"/>
            <w:tcBorders>
              <w:top w:val="single" w:sz="3" w:color="C7D8EB"/>
              <w:left w:val="single" w:sz="3" w:color="C7D8EB"/>
              <w:bottom w:val="single" w:sz="3" w:color="C7D8EB"/>
              <w:right w:val="single" w:sz="3" w:color="C7D8EB"/>
            </w:tcBorders>
          </w:tcPr>
          <w:p>
            <w:pPr>
              <w:spacing w:after="0"/>
            </w:pPr>
            <w:r>
              <w:rPr>
                <w:color w:val="142033"/>
                <w:sz w:val="16"/>
              </w:rPr>
              <w:t>Vérifier profil client, prix actif, dates, FX</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Client voit 403</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Vérifier session, statut et permission</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Véhicule absent du catalogue</w:t>
            </w:r>
          </w:p>
        </w:tc>
        <w:tc>
          <w:tcPr>
            <w:tcW w:type="dxa" w:w="6236"/>
            <w:vAlign w:val="top"/>
            <w:shd w:fill="F8FBFE"/>
            <w:tcBorders>
              <w:top w:val="single" w:sz="3" w:color="C7D8EB"/>
              <w:left w:val="single" w:sz="3" w:color="C7D8EB"/>
              <w:bottom w:val="single" w:sz="3" w:color="C7D8EB"/>
              <w:right w:val="single" w:sz="3" w:color="C7D8EB"/>
            </w:tcBorders>
          </w:tcPr>
          <w:p>
            <w:pPr>
              <w:spacing w:after="0"/>
            </w:pPr>
            <w:r>
              <w:rPr>
                <w:color w:val="142033"/>
                <w:sz w:val="16"/>
              </w:rPr>
              <w:t>Vérifier is_published, status, soft delete et éligibilité</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Double commande détectée</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Ne pas supprimer ; investiguer audit et corriger via procédure contrôlée</w:t>
            </w:r>
          </w:p>
        </w:tc>
      </w:tr>
    </w:tbl>
    <w:p>
      <w:pPr>
        <w:spacing w:after="20"/>
      </w:pPr>
    </w:p>
    <w:p>
      <w:pPr>
        <w:pStyle w:val="Heading1"/>
      </w:pPr>
      <w:r>
        <w:t>11. Exploitation périodique</w:t>
      </w:r>
    </w:p>
    <w:p>
      <w:pPr>
        <w:pStyle w:val="ListBullet"/>
        <w:spacing w:after="40"/>
      </w:pPr>
      <w:r>
        <w:t>Quotidien : prospects à relancer, erreurs, demandes Revendeur.</w:t>
      </w:r>
    </w:p>
    <w:p>
      <w:pPr>
        <w:pStyle w:val="ListBullet"/>
        <w:spacing w:after="40"/>
      </w:pPr>
      <w:r>
        <w:t>Hebdomadaire : véhicules obsolètes, prix, médias, taux FX.</w:t>
      </w:r>
    </w:p>
    <w:p>
      <w:pPr>
        <w:pStyle w:val="ListBullet"/>
        <w:spacing w:after="40"/>
      </w:pPr>
      <w:r>
        <w:t>Mensuel : audit des permissions, KPIs, backups/restauration test selon calendrier.</w:t>
      </w:r>
    </w:p>
    <w:p>
      <w:pPr>
        <w:pStyle w:val="ListBullet"/>
        <w:spacing w:after="40"/>
      </w:pPr>
      <w:r>
        <w:t>Avant changement réglementaire : mise à jour règle import et revue des annonces affectées.</w:t>
      </w:r>
    </w:p>
    <w:sectPr w:rsidR="00FC693F" w:rsidRPr="0006063C" w:rsidSect="00034616">
      <w:headerReference w:type="default" r:id="rId10"/>
      <w:footerReference w:type="default" r:id="rId11"/>
      <w:pgSz w:w="12240" w:h="15840"/>
      <w:pgMar w:top="879" w:right="907" w:bottom="82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6"/>
        <w:sz w:val="15"/>
      </w:rPr>
      <w:t xml:space="preserve">Confidentiel - Projet Diaba Auto  |  Version 1.0  |  </w:t>
    </w:r>
    <w:r>
      <w:rPr>
        <w:color w:val="5B667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12B1FC"/>
      </w:pBdr>
    </w:pPr>
    <w:r>
      <w:rPr>
        <w:rFonts w:ascii="Arial" w:hAnsi="Arial"/>
        <w:b/>
        <w:color w:val="012E75"/>
        <w:sz w:val="15"/>
      </w:rPr>
      <w:t>Diaba Auto  |  20  |  Guide d’administration et d’exploitation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4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12E7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165E3"/>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14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12E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1420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