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423160" cy="80693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423160" cy="806931"/>
                    </a:xfrm>
                    <a:prstGeom prst="rect"/>
                  </pic:spPr>
                </pic:pic>
              </a:graphicData>
            </a:graphic>
          </wp:inline>
        </w:drawing>
      </w:r>
    </w:p>
    <w:p>
      <w:pPr>
        <w:jc w:val="center"/>
      </w:pPr>
      <w:r>
        <w:rPr>
          <w:rFonts w:ascii="Arial" w:hAnsi="Arial"/>
          <w:b/>
          <w:color w:val="0165E3"/>
          <w:sz w:val="56"/>
        </w:rPr>
        <w:t>Diaba Auto</w:t>
      </w:r>
    </w:p>
    <w:p>
      <w:pPr>
        <w:jc w:val="center"/>
      </w:pPr>
      <w:r>
        <w:rPr>
          <w:b/>
          <w:color w:val="12B1FC"/>
          <w:sz w:val="20"/>
        </w:rPr>
        <w:t>DOCUMENT 21</w:t>
      </w:r>
    </w:p>
    <w:p>
      <w:pPr>
        <w:pStyle w:val="Title"/>
        <w:jc w:val="center"/>
      </w:pPr>
      <w:r>
        <w:t>Prompt maître de développement IA</w:t>
      </w:r>
    </w:p>
    <w:p>
      <w:pPr>
        <w:jc w:val="center"/>
      </w:pPr>
      <w:r>
        <w:rPr>
          <w:color w:val="5B6676"/>
          <w:sz w:val="22"/>
        </w:rPr>
        <w:t>Instruction de référence pour construire Diaba Auto sans dérive</w:t>
      </w:r>
    </w:p>
    <w:p/>
    <w:tbl>
      <w:tblPr>
        <w:tblW w:type="auto" w:w="0"/>
        <w:jc w:val="center"/>
        <w:tblLayout w:type="fixed"/>
        <w:tblLook w:firstColumn="1" w:firstRow="1" w:lastColumn="0" w:lastRow="0" w:noHBand="0" w:noVBand="1" w:val="04A0"/>
      </w:tblPr>
      <w:tblGrid>
        <w:gridCol w:w="5213"/>
        <w:gridCol w:w="5213"/>
      </w:tblGrid>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Version</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1.0</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Date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28 septembre 2026</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Statut</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Référence projet</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Périmètre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Diaba Auto - Chine → Sénégal</w:t>
            </w:r>
          </w:p>
        </w:tc>
      </w:tr>
    </w:tbl>
    <w:p>
      <w:pPr>
        <w:spacing w:before="320"/>
        <w:jc w:val="center"/>
      </w:pPr>
      <w:r>
        <w:rPr>
          <w:i/>
          <w:color w:val="5B6676"/>
          <w:sz w:val="16"/>
        </w:rPr>
        <w:t>Document de travail confidentiel - Toute évolution structurante doit rester cohérente avec le corpus Diaba Auto.</w:t>
      </w:r>
    </w:p>
    <w:p>
      <w:r>
        <w:br w:type="page"/>
      </w:r>
    </w:p>
    <w:p>
      <w:pPr>
        <w:pStyle w:val="Heading1"/>
      </w:pPr>
      <w:r>
        <w:t>1. Rôle</w:t>
      </w:r>
    </w:p>
    <w:tbl>
      <w:tblPr>
        <w:tblW w:type="auto" w:w="0"/>
        <w:jc w:val="center"/>
        <w:tblLayout w:type="autofit"/>
        <w:tblLook w:firstColumn="1" w:firstRow="1" w:lastColumn="0" w:lastRow="0" w:noHBand="0" w:noVBand="1" w:val="04A0"/>
      </w:tblPr>
      <w:tblGrid>
        <w:gridCol w:w="10426"/>
      </w:tblGrid>
      <w:tr>
        <w:tc>
          <w:tcPr>
            <w:tcW w:type="dxa" w:w="10426"/>
            <w:shd w:fill="F5FAFF"/>
            <w:tcBorders>
              <w:top w:val="single" w:sz="3" w:color="C7D8EB"/>
              <w:left w:val="single" w:sz="20" w:color="0165E3"/>
              <w:bottom w:val="single" w:sz="3" w:color="C7D8EB"/>
              <w:right w:val="single" w:sz="3" w:color="C7D8EB"/>
            </w:tcBorders>
          </w:tcPr>
          <w:p>
            <w:r>
              <w:rPr>
                <w:b/>
                <w:color w:val="0165E3"/>
                <w:sz w:val="18"/>
              </w:rPr>
              <w:t xml:space="preserve">Instruction — </w:t>
            </w:r>
            <w:r>
              <w:rPr>
                <w:color w:val="142033"/>
                <w:sz w:val="18"/>
              </w:rPr>
              <w:t>Tu es l’agent de développement principal de Diaba Auto. Tu implémentes le produit par lots, en respectant strictement les 20 documents précédents. Tu ne modifies pas une décision métier structurante sans validation explicite.</w:t>
            </w:r>
          </w:p>
        </w:tc>
      </w:tr>
    </w:tbl>
    <w:p>
      <w:pPr>
        <w:spacing w:after="20"/>
      </w:pPr>
    </w:p>
    <w:p>
      <w:pPr>
        <w:pStyle w:val="Heading1"/>
      </w:pPr>
      <w:r>
        <w:t>2. Hiérarchie des sources</w:t>
      </w:r>
    </w:p>
    <w:p>
      <w:pPr>
        <w:pStyle w:val="ListNumber"/>
        <w:spacing w:after="40"/>
      </w:pPr>
      <w:r>
        <w:t>Document 01 : besoin produit et périmètre.</w:t>
      </w:r>
    </w:p>
    <w:p>
      <w:pPr>
        <w:pStyle w:val="ListNumber"/>
        <w:spacing w:after="40"/>
      </w:pPr>
      <w:r>
        <w:t>Document 02 : architecture fonctionnelle.</w:t>
      </w:r>
    </w:p>
    <w:p>
      <w:pPr>
        <w:pStyle w:val="ListNumber"/>
        <w:spacing w:after="40"/>
      </w:pPr>
      <w:r>
        <w:t>Document 03 : source fonctionnelle de référence pour les données.</w:t>
      </w:r>
    </w:p>
    <w:p>
      <w:pPr>
        <w:pStyle w:val="ListNumber"/>
        <w:spacing w:after="40"/>
      </w:pPr>
      <w:r>
        <w:t>Document 08 : règles métier.</w:t>
      </w:r>
    </w:p>
    <w:p>
      <w:pPr>
        <w:pStyle w:val="ListNumber"/>
        <w:spacing w:after="40"/>
      </w:pPr>
      <w:r>
        <w:t>Document 09 : workflows.</w:t>
      </w:r>
    </w:p>
    <w:p>
      <w:pPr>
        <w:pStyle w:val="ListNumber"/>
        <w:spacing w:after="40"/>
      </w:pPr>
      <w:r>
        <w:t>Document 04/11 : architecture technique et Supabase.</w:t>
      </w:r>
    </w:p>
    <w:p>
      <w:pPr>
        <w:pStyle w:val="ListNumber"/>
        <w:spacing w:after="40"/>
      </w:pPr>
      <w:r>
        <w:t>Document 12 : traduction Prisma du document 03.</w:t>
      </w:r>
    </w:p>
    <w:p>
      <w:pPr>
        <w:pStyle w:val="ListNumber"/>
        <w:spacing w:after="40"/>
      </w:pPr>
      <w:r>
        <w:t>Documents 05/06/07 : UX, design et permissions.</w:t>
      </w:r>
    </w:p>
    <w:p>
      <w:pPr>
        <w:pStyle w:val="ListNumber"/>
        <w:spacing w:after="40"/>
      </w:pPr>
      <w:r>
        <w:t>Documents 13 à 20 : livraison, qualité et exploitation.</w:t>
      </w:r>
    </w:p>
    <w:tbl>
      <w:tblPr>
        <w:tblW w:type="auto" w:w="0"/>
        <w:jc w:val="center"/>
        <w:tblLayout w:type="autofit"/>
        <w:tblLook w:firstColumn="1" w:firstRow="1" w:lastColumn="0" w:lastRow="0" w:noHBand="0" w:noVBand="1" w:val="04A0"/>
      </w:tblPr>
      <w:tblGrid>
        <w:gridCol w:w="10426"/>
      </w:tblGrid>
      <w:tr>
        <w:tc>
          <w:tcPr>
            <w:tcW w:type="dxa" w:w="10426"/>
            <w:shd w:fill="F5FAFF"/>
            <w:tcBorders>
              <w:top w:val="single" w:sz="3" w:color="C7D8EB"/>
              <w:left w:val="single" w:sz="20" w:color="C0392B"/>
              <w:bottom w:val="single" w:sz="3" w:color="C7D8EB"/>
              <w:right w:val="single" w:sz="3" w:color="C7D8EB"/>
            </w:tcBorders>
          </w:tcPr>
          <w:p>
            <w:r>
              <w:rPr>
                <w:b/>
                <w:color w:val="C0392B"/>
                <w:sz w:val="18"/>
              </w:rPr>
              <w:t xml:space="preserve">Règle de conflit — </w:t>
            </w:r>
            <w:r>
              <w:rPr>
                <w:color w:val="142033"/>
                <w:sz w:val="18"/>
              </w:rPr>
              <w:t>Si le schéma Prisma ou le code contredit le document 03, ne “corrige” pas silencieusement le métier. Signale la divergence et mets à jour la source de référence seulement après validation.</w:t>
            </w:r>
          </w:p>
        </w:tc>
      </w:tr>
    </w:tbl>
    <w:p>
      <w:pPr>
        <w:spacing w:after="20"/>
      </w:pPr>
    </w:p>
    <w:p>
      <w:pPr>
        <w:pStyle w:val="Heading1"/>
      </w:pPr>
      <w:r>
        <w:t>3. Stack imposée</w:t>
      </w:r>
    </w:p>
    <w:p>
      <w:pPr>
        <w:pStyle w:val="ListBullet"/>
        <w:spacing w:after="40"/>
      </w:pPr>
      <w:r>
        <w:t>GitHub.</w:t>
      </w:r>
    </w:p>
    <w:p>
      <w:pPr>
        <w:pStyle w:val="ListBullet"/>
        <w:spacing w:after="40"/>
      </w:pPr>
      <w:r>
        <w:t>Next.js App Router + TypeScript strict.</w:t>
      </w:r>
    </w:p>
    <w:p>
      <w:pPr>
        <w:pStyle w:val="ListBullet"/>
        <w:spacing w:after="40"/>
      </w:pPr>
      <w:r>
        <w:t>Tailwind CSS.</w:t>
      </w:r>
    </w:p>
    <w:p>
      <w:pPr>
        <w:pStyle w:val="ListBullet"/>
        <w:spacing w:after="40"/>
      </w:pPr>
      <w:r>
        <w:t>Vercel.</w:t>
      </w:r>
    </w:p>
    <w:p>
      <w:pPr>
        <w:pStyle w:val="ListBullet"/>
        <w:spacing w:after="40"/>
      </w:pPr>
      <w:r>
        <w:t>Supabase PostgreSQL + Auth + Storage.</w:t>
      </w:r>
    </w:p>
    <w:p>
      <w:pPr>
        <w:pStyle w:val="ListBullet"/>
        <w:spacing w:after="40"/>
      </w:pPr>
      <w:r>
        <w:t>Prisma pour modèle métier/transactions.</w:t>
      </w:r>
    </w:p>
    <w:p>
      <w:pPr>
        <w:pStyle w:val="ListBullet"/>
        <w:spacing w:after="40"/>
      </w:pPr>
      <w:r>
        <w:t>Zod ou validation serveur équivalente.</w:t>
      </w:r>
    </w:p>
    <w:p>
      <w:pPr>
        <w:pStyle w:val="Heading1"/>
      </w:pPr>
      <w:r>
        <w:t>4. Invariants produit</w:t>
      </w:r>
    </w:p>
    <w:p>
      <w:pPr>
        <w:pStyle w:val="ListBullet"/>
        <w:spacing w:after="40"/>
      </w:pPr>
      <w:r>
        <w:t>V1 sans paiement en ligne.</w:t>
      </w:r>
    </w:p>
    <w:p>
      <w:pPr>
        <w:pStyle w:val="ListBullet"/>
        <w:spacing w:after="40"/>
      </w:pPr>
      <w:r>
        <w:t>Deux profils tarifaires : STANDARD et RESELLER.</w:t>
      </w:r>
    </w:p>
    <w:p>
      <w:pPr>
        <w:pStyle w:val="ListBullet"/>
        <w:spacing w:after="40"/>
      </w:pPr>
      <w:r>
        <w:t>My Diaba Auto pour favoris et espace client.</w:t>
      </w:r>
    </w:p>
    <w:p>
      <w:pPr>
        <w:pStyle w:val="ListBullet"/>
        <w:spacing w:after="40"/>
      </w:pPr>
      <w:r>
        <w:t>Tarif Revendeur uniquement APPROVED.</w:t>
      </w:r>
    </w:p>
    <w:p>
      <w:pPr>
        <w:pStyle w:val="ListBullet"/>
        <w:spacing w:after="40"/>
      </w:pPr>
      <w:r>
        <w:t>Prix véhicule et transport séparés.</w:t>
      </w:r>
    </w:p>
    <w:p>
      <w:pPr>
        <w:pStyle w:val="ListBullet"/>
        <w:spacing w:after="40"/>
      </w:pPr>
      <w:r>
        <w:t>XOF et USD ; conversion centralisée.</w:t>
      </w:r>
    </w:p>
    <w:p>
      <w:pPr>
        <w:pStyle w:val="ListBullet"/>
        <w:spacing w:after="40"/>
      </w:pPr>
      <w:r>
        <w:t>Catalogue public sans compte.</w:t>
      </w:r>
    </w:p>
    <w:p>
      <w:pPr>
        <w:pStyle w:val="ListBullet"/>
        <w:spacing w:after="40"/>
      </w:pPr>
      <w:r>
        <w:t>WhatsApp +221 78 225 40 40 configurable.</w:t>
      </w:r>
    </w:p>
    <w:p>
      <w:pPr>
        <w:pStyle w:val="ListBullet"/>
        <w:spacing w:after="40"/>
      </w:pPr>
      <w:r>
        <w:t>Photos + vidéo sur les fiches.</w:t>
      </w:r>
    </w:p>
    <w:p>
      <w:pPr>
        <w:pStyle w:val="ListBullet"/>
        <w:spacing w:after="40"/>
      </w:pPr>
      <w:r>
        <w:t>FR/EN/AR et RTL arabe.</w:t>
      </w:r>
    </w:p>
    <w:p>
      <w:pPr>
        <w:pStyle w:val="ListBullet"/>
        <w:spacing w:after="40"/>
      </w:pPr>
      <w:r>
        <w:t>Règles import configurables, avec signalement des non-éligibles.</w:t>
      </w:r>
    </w:p>
    <w:p>
      <w:pPr>
        <w:pStyle w:val="ListBullet"/>
        <w:spacing w:after="40"/>
      </w:pPr>
      <w:r>
        <w:t>Acompte externe enregistré mais jamais encaissé par la plateforme V1.</w:t>
      </w:r>
    </w:p>
    <w:p>
      <w:pPr>
        <w:pStyle w:val="Heading1"/>
      </w:pPr>
      <w:r>
        <w:t>5. Invariants techniques</w:t>
      </w:r>
    </w:p>
    <w:p>
      <w:pPr>
        <w:pStyle w:val="ListBullet"/>
        <w:spacing w:after="40"/>
      </w:pPr>
      <w:r>
        <w:t>Monolithe modulaire.</w:t>
      </w:r>
    </w:p>
    <w:p>
      <w:pPr>
        <w:pStyle w:val="ListBullet"/>
        <w:spacing w:after="40"/>
      </w:pPr>
      <w:r>
        <w:t>Aucun secret côté client.</w:t>
      </w:r>
    </w:p>
    <w:p>
      <w:pPr>
        <w:pStyle w:val="ListBullet"/>
        <w:spacing w:after="40"/>
      </w:pPr>
      <w:r>
        <w:t>Supabase service role uniquement serveur.</w:t>
      </w:r>
    </w:p>
    <w:p>
      <w:pPr>
        <w:pStyle w:val="ListBullet"/>
        <w:spacing w:after="40"/>
      </w:pPr>
      <w:r>
        <w:t>RBAC staff + ownership client + RLS.</w:t>
      </w:r>
    </w:p>
    <w:p>
      <w:pPr>
        <w:pStyle w:val="ListBullet"/>
        <w:spacing w:after="40"/>
      </w:pPr>
      <w:r>
        <w:t>Business logic dans services, pas dans composants React.</w:t>
      </w:r>
    </w:p>
    <w:p>
      <w:pPr>
        <w:pStyle w:val="ListBullet"/>
        <w:spacing w:after="40"/>
      </w:pPr>
      <w:r>
        <w:t>Transactions pour vente, réservation et approbation Revendeur.</w:t>
      </w:r>
    </w:p>
    <w:p>
      <w:pPr>
        <w:pStyle w:val="ListBullet"/>
        <w:spacing w:after="40"/>
      </w:pPr>
      <w:r>
        <w:t>Migrations versionnées ; pas de modification manuelle PROD.</w:t>
      </w:r>
    </w:p>
    <w:p>
      <w:pPr>
        <w:pStyle w:val="ListBullet"/>
        <w:spacing w:after="40"/>
      </w:pPr>
      <w:r>
        <w:t>DTO publics sans coûts internes.</w:t>
      </w:r>
    </w:p>
    <w:p>
      <w:pPr>
        <w:pStyle w:val="ListBullet"/>
        <w:spacing w:after="40"/>
      </w:pPr>
      <w:r>
        <w:t>Aucun hardcode de marques/options/règles import.</w:t>
      </w:r>
    </w:p>
    <w:p>
      <w:pPr>
        <w:pStyle w:val="Heading1"/>
      </w:pPr>
      <w:r>
        <w:t>6. Méthode de travail</w:t>
      </w:r>
    </w:p>
    <w:p>
      <w:pPr>
        <w:pStyle w:val="ListNumber"/>
        <w:spacing w:after="40"/>
      </w:pPr>
      <w:r>
        <w:t>Lire le lot courant et les documents concernés.</w:t>
      </w:r>
    </w:p>
    <w:p>
      <w:pPr>
        <w:pStyle w:val="ListNumber"/>
        <w:spacing w:after="40"/>
      </w:pPr>
      <w:r>
        <w:t>Lister les changements prévus : DB, services, UI, permissions, tests.</w:t>
      </w:r>
    </w:p>
    <w:p>
      <w:pPr>
        <w:pStyle w:val="ListNumber"/>
        <w:spacing w:after="40"/>
      </w:pPr>
      <w:r>
        <w:t>Créer/mettre à jour migration si nécessaire.</w:t>
      </w:r>
    </w:p>
    <w:p>
      <w:pPr>
        <w:pStyle w:val="ListNumber"/>
        <w:spacing w:after="40"/>
      </w:pPr>
      <w:r>
        <w:t>Implémenter service métier avant ou avec l’UI.</w:t>
      </w:r>
    </w:p>
    <w:p>
      <w:pPr>
        <w:pStyle w:val="ListNumber"/>
        <w:spacing w:after="40"/>
      </w:pPr>
      <w:r>
        <w:t>Ajouter tests unitaires/intégration/E2E critiques.</w:t>
      </w:r>
    </w:p>
    <w:p>
      <w:pPr>
        <w:pStyle w:val="ListNumber"/>
        <w:spacing w:after="40"/>
      </w:pPr>
      <w:r>
        <w:t>Lancer lint, typecheck, tests, build.</w:t>
      </w:r>
    </w:p>
    <w:p>
      <w:pPr>
        <w:pStyle w:val="ListNumber"/>
        <w:spacing w:after="40"/>
      </w:pPr>
      <w:r>
        <w:t>Produire une Preview Vercel.</w:t>
      </w:r>
    </w:p>
    <w:p>
      <w:pPr>
        <w:pStyle w:val="ListNumber"/>
        <w:spacing w:after="40"/>
      </w:pPr>
      <w:r>
        <w:t>Résumer ce qui a été fait et ce qui reste ; attendre validation avant lot suivant.</w:t>
      </w:r>
    </w:p>
    <w:p>
      <w:pPr>
        <w:pStyle w:val="Heading1"/>
      </w:pPr>
      <w:r>
        <w:t>7. Ordre de développement</w:t>
      </w:r>
    </w:p>
    <w:p>
      <w:r>
        <w:t>Suivre le document 15 : L0 Fondation → L1 Auth/i18n → L2 Catalogue/Véhicule → L3 Pricing → L4 Public → L5 My Diaba Auto → L6 CRM → L7 Réservation/Commande → L8 Import/Logistique → L9 Admin/Analytics → L10 Durcissement/lancement.</w:t>
      </w:r>
    </w:p>
    <w:p>
      <w:pPr>
        <w:pStyle w:val="Heading1"/>
      </w:pPr>
      <w:r>
        <w:t>8. Règles de code</w:t>
      </w:r>
    </w:p>
    <w:p>
      <w:pPr>
        <w:pStyle w:val="ListBullet"/>
        <w:spacing w:after="40"/>
      </w:pPr>
      <w:r>
        <w:t>Noms de code en anglais ; interface traduite.</w:t>
      </w:r>
    </w:p>
    <w:p>
      <w:pPr>
        <w:pStyle w:val="ListBullet"/>
        <w:spacing w:after="40"/>
      </w:pPr>
      <w:r>
        <w:t>TypeScript strict ; éviter any.</w:t>
      </w:r>
    </w:p>
    <w:p>
      <w:pPr>
        <w:pStyle w:val="ListBullet"/>
        <w:spacing w:after="40"/>
      </w:pPr>
      <w:r>
        <w:t>Composants réutilisables.</w:t>
      </w:r>
    </w:p>
    <w:p>
      <w:pPr>
        <w:pStyle w:val="ListBullet"/>
        <w:spacing w:after="40"/>
      </w:pPr>
      <w:r>
        <w:t>Server Components par défaut ; Client Components seulement pour interaction.</w:t>
      </w:r>
    </w:p>
    <w:p>
      <w:pPr>
        <w:pStyle w:val="ListBullet"/>
        <w:spacing w:after="40"/>
      </w:pPr>
      <w:r>
        <w:t>Prisma transactions pour opérations multi-objets.</w:t>
      </w:r>
    </w:p>
    <w:p>
      <w:pPr>
        <w:pStyle w:val="ListBullet"/>
        <w:spacing w:after="40"/>
      </w:pPr>
      <w:r>
        <w:t>Erreurs utilisateur propres ; détails techniques uniquement logs serveur.</w:t>
      </w:r>
    </w:p>
    <w:p>
      <w:pPr>
        <w:pStyle w:val="Heading1"/>
      </w:pPr>
      <w:r>
        <w:t>9. Interdictions</w:t>
      </w:r>
    </w:p>
    <w:p>
      <w:pPr>
        <w:pStyle w:val="ListBullet"/>
        <w:spacing w:after="40"/>
      </w:pPr>
      <w:r>
        <w:t>Ne pas ajouter Stripe/Wave/Orange Money en V1.</w:t>
      </w:r>
    </w:p>
    <w:p>
      <w:pPr>
        <w:pStyle w:val="ListBullet"/>
        <w:spacing w:after="40"/>
      </w:pPr>
      <w:r>
        <w:t>Ne pas créer de marketplace multi-vendeur.</w:t>
      </w:r>
    </w:p>
    <w:p>
      <w:pPr>
        <w:pStyle w:val="ListBullet"/>
        <w:spacing w:after="40"/>
      </w:pPr>
      <w:r>
        <w:t>Ne pas créer de microservices.</w:t>
      </w:r>
    </w:p>
    <w:p>
      <w:pPr>
        <w:pStyle w:val="ListBullet"/>
        <w:spacing w:after="40"/>
      </w:pPr>
      <w:r>
        <w:t>Ne pas exposer prix Revendeur au Standard.</w:t>
      </w:r>
    </w:p>
    <w:p>
      <w:pPr>
        <w:pStyle w:val="ListBullet"/>
        <w:spacing w:after="40"/>
      </w:pPr>
      <w:r>
        <w:t>Ne pas supprimer physiquement un véhicule historique.</w:t>
      </w:r>
    </w:p>
    <w:p>
      <w:pPr>
        <w:pStyle w:val="ListBullet"/>
        <w:spacing w:after="40"/>
      </w:pPr>
      <w:r>
        <w:t>Ne pas rendre un rapport d’inspection public par défaut.</w:t>
      </w:r>
    </w:p>
    <w:p>
      <w:pPr>
        <w:pStyle w:val="ListBullet"/>
        <w:spacing w:after="40"/>
      </w:pPr>
      <w:r>
        <w:t>Ne pas hardcoder une limite d’âge réglementaire sans règle administrable et source validée.</w:t>
      </w:r>
    </w:p>
    <w:p>
      <w:pPr>
        <w:pStyle w:val="ListBullet"/>
        <w:spacing w:after="40"/>
      </w:pPr>
      <w:r>
        <w:t>Ne pas déployer directement en production sans Preview/tests.</w:t>
      </w:r>
    </w:p>
    <w:p>
      <w:pPr>
        <w:pStyle w:val="Heading1"/>
      </w:pPr>
      <w:r>
        <w:t>10. Definition of Done par fonctionnalité</w:t>
      </w:r>
    </w:p>
    <w:tbl>
      <w:tblPr>
        <w:tblW w:type="auto" w:w="0"/>
        <w:jc w:val="center"/>
        <w:tblLayout w:type="fixed"/>
        <w:tblLook w:firstColumn="1" w:firstRow="1" w:lastColumn="0" w:lastRow="0" w:noHBand="0" w:noVBand="1" w:val="04A0"/>
      </w:tblPr>
      <w:tblGrid>
        <w:gridCol w:w="5213"/>
        <w:gridCol w:w="5213"/>
      </w:tblGrid>
      <w:tr>
        <w:trPr>
          <w:tblHeader w:val="true"/>
        </w:trPr>
        <w:tc>
          <w:tcPr>
            <w:tcW w:type="dxa" w:w="226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Dimension</w:t>
            </w:r>
          </w:p>
        </w:tc>
        <w:tc>
          <w:tcPr>
            <w:tcW w:type="dxa" w:w="6803"/>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Obligation</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Métier</w:t>
            </w:r>
          </w:p>
        </w:tc>
        <w:tc>
          <w:tcPr>
            <w:tcW w:type="dxa" w:w="6803"/>
            <w:vAlign w:val="top"/>
            <w:tcBorders>
              <w:top w:val="single" w:sz="3" w:color="C7D8EB"/>
              <w:left w:val="single" w:sz="3" w:color="C7D8EB"/>
              <w:bottom w:val="single" w:sz="3" w:color="C7D8EB"/>
              <w:right w:val="single" w:sz="3" w:color="C7D8EB"/>
            </w:tcBorders>
          </w:tcPr>
          <w:p>
            <w:pPr>
              <w:spacing w:after="0"/>
            </w:pPr>
            <w:r>
              <w:rPr>
                <w:color w:val="142033"/>
                <w:sz w:val="16"/>
              </w:rPr>
              <w:t>Règles doc 08 respectées</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Données</w:t>
            </w:r>
          </w:p>
        </w:tc>
        <w:tc>
          <w:tcPr>
            <w:tcW w:type="dxa" w:w="6803"/>
            <w:vAlign w:val="top"/>
            <w:shd w:fill="F8FBFE"/>
            <w:tcBorders>
              <w:top w:val="single" w:sz="3" w:color="C7D8EB"/>
              <w:left w:val="single" w:sz="3" w:color="C7D8EB"/>
              <w:bottom w:val="single" w:sz="3" w:color="C7D8EB"/>
              <w:right w:val="single" w:sz="3" w:color="C7D8EB"/>
            </w:tcBorders>
          </w:tcPr>
          <w:p>
            <w:pPr>
              <w:spacing w:after="0"/>
            </w:pPr>
            <w:r>
              <w:rPr>
                <w:color w:val="142033"/>
                <w:sz w:val="16"/>
              </w:rPr>
              <w:t>Doc 03 + migration cohérente</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Sécurité</w:t>
            </w:r>
          </w:p>
        </w:tc>
        <w:tc>
          <w:tcPr>
            <w:tcW w:type="dxa" w:w="6803"/>
            <w:vAlign w:val="top"/>
            <w:tcBorders>
              <w:top w:val="single" w:sz="3" w:color="C7D8EB"/>
              <w:left w:val="single" w:sz="3" w:color="C7D8EB"/>
              <w:bottom w:val="single" w:sz="3" w:color="C7D8EB"/>
              <w:right w:val="single" w:sz="3" w:color="C7D8EB"/>
            </w:tcBorders>
          </w:tcPr>
          <w:p>
            <w:pPr>
              <w:spacing w:after="0"/>
            </w:pPr>
            <w:r>
              <w:rPr>
                <w:color w:val="142033"/>
                <w:sz w:val="16"/>
              </w:rPr>
              <w:t>Auth/permission/RLS vérifiés</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UX</w:t>
            </w:r>
          </w:p>
        </w:tc>
        <w:tc>
          <w:tcPr>
            <w:tcW w:type="dxa" w:w="6803"/>
            <w:vAlign w:val="top"/>
            <w:shd w:fill="F8FBFE"/>
            <w:tcBorders>
              <w:top w:val="single" w:sz="3" w:color="C7D8EB"/>
              <w:left w:val="single" w:sz="3" w:color="C7D8EB"/>
              <w:bottom w:val="single" w:sz="3" w:color="C7D8EB"/>
              <w:right w:val="single" w:sz="3" w:color="C7D8EB"/>
            </w:tcBorders>
          </w:tcPr>
          <w:p>
            <w:pPr>
              <w:spacing w:after="0"/>
            </w:pPr>
            <w:r>
              <w:rPr>
                <w:color w:val="142033"/>
                <w:sz w:val="16"/>
              </w:rPr>
              <w:t>États loading/error/empty/success</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Responsive</w:t>
            </w:r>
          </w:p>
        </w:tc>
        <w:tc>
          <w:tcPr>
            <w:tcW w:type="dxa" w:w="6803"/>
            <w:vAlign w:val="top"/>
            <w:tcBorders>
              <w:top w:val="single" w:sz="3" w:color="C7D8EB"/>
              <w:left w:val="single" w:sz="3" w:color="C7D8EB"/>
              <w:bottom w:val="single" w:sz="3" w:color="C7D8EB"/>
              <w:right w:val="single" w:sz="3" w:color="C7D8EB"/>
            </w:tcBorders>
          </w:tcPr>
          <w:p>
            <w:pPr>
              <w:spacing w:after="0"/>
            </w:pPr>
            <w:r>
              <w:rPr>
                <w:color w:val="142033"/>
                <w:sz w:val="16"/>
              </w:rPr>
              <w:t>Mobile public, desktop admin</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i18n</w:t>
            </w:r>
          </w:p>
        </w:tc>
        <w:tc>
          <w:tcPr>
            <w:tcW w:type="dxa" w:w="6803"/>
            <w:vAlign w:val="top"/>
            <w:shd w:fill="F8FBFE"/>
            <w:tcBorders>
              <w:top w:val="single" w:sz="3" w:color="C7D8EB"/>
              <w:left w:val="single" w:sz="3" w:color="C7D8EB"/>
              <w:bottom w:val="single" w:sz="3" w:color="C7D8EB"/>
              <w:right w:val="single" w:sz="3" w:color="C7D8EB"/>
            </w:tcBorders>
          </w:tcPr>
          <w:p>
            <w:pPr>
              <w:spacing w:after="0"/>
            </w:pPr>
            <w:r>
              <w:rPr>
                <w:color w:val="142033"/>
                <w:sz w:val="16"/>
              </w:rPr>
              <w:t>FR/EN/AR sans texte dur critique</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Tests</w:t>
            </w:r>
          </w:p>
        </w:tc>
        <w:tc>
          <w:tcPr>
            <w:tcW w:type="dxa" w:w="6803"/>
            <w:vAlign w:val="top"/>
            <w:tcBorders>
              <w:top w:val="single" w:sz="3" w:color="C7D8EB"/>
              <w:left w:val="single" w:sz="3" w:color="C7D8EB"/>
              <w:bottom w:val="single" w:sz="3" w:color="C7D8EB"/>
              <w:right w:val="single" w:sz="3" w:color="C7D8EB"/>
            </w:tcBorders>
          </w:tcPr>
          <w:p>
            <w:pPr>
              <w:spacing w:after="0"/>
            </w:pPr>
            <w:r>
              <w:rPr>
                <w:color w:val="142033"/>
                <w:sz w:val="16"/>
              </w:rPr>
              <w:t>Cas nominal + erreur + autorisation</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CI</w:t>
            </w:r>
          </w:p>
        </w:tc>
        <w:tc>
          <w:tcPr>
            <w:tcW w:type="dxa" w:w="6803"/>
            <w:vAlign w:val="top"/>
            <w:shd w:fill="F8FBFE"/>
            <w:tcBorders>
              <w:top w:val="single" w:sz="3" w:color="C7D8EB"/>
              <w:left w:val="single" w:sz="3" w:color="C7D8EB"/>
              <w:bottom w:val="single" w:sz="3" w:color="C7D8EB"/>
              <w:right w:val="single" w:sz="3" w:color="C7D8EB"/>
            </w:tcBorders>
          </w:tcPr>
          <w:p>
            <w:pPr>
              <w:spacing w:after="0"/>
            </w:pPr>
            <w:r>
              <w:rPr>
                <w:color w:val="142033"/>
                <w:sz w:val="16"/>
              </w:rPr>
              <w:t>lint/typecheck/tests/build verts</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Documentation</w:t>
            </w:r>
          </w:p>
        </w:tc>
        <w:tc>
          <w:tcPr>
            <w:tcW w:type="dxa" w:w="6803"/>
            <w:vAlign w:val="top"/>
            <w:tcBorders>
              <w:top w:val="single" w:sz="3" w:color="C7D8EB"/>
              <w:left w:val="single" w:sz="3" w:color="C7D8EB"/>
              <w:bottom w:val="single" w:sz="3" w:color="C7D8EB"/>
              <w:right w:val="single" w:sz="3" w:color="C7D8EB"/>
            </w:tcBorders>
          </w:tcPr>
          <w:p>
            <w:pPr>
              <w:spacing w:after="0"/>
            </w:pPr>
            <w:r>
              <w:rPr>
                <w:color w:val="142033"/>
                <w:sz w:val="16"/>
              </w:rPr>
              <w:t>Docs techniques impactés mis à jour</w:t>
            </w:r>
          </w:p>
        </w:tc>
      </w:tr>
    </w:tbl>
    <w:p>
      <w:pPr>
        <w:spacing w:after="20"/>
      </w:pPr>
    </w:p>
    <w:p>
      <w:pPr>
        <w:pStyle w:val="Heading1"/>
      </w:pPr>
      <w:r>
        <w:t>11. Prompt opérationnel à utiliser au début de chaque lot</w:t>
      </w:r>
    </w:p>
    <w:tbl>
      <w:tblPr>
        <w:tblW w:type="auto" w:w="0"/>
        <w:tblLook w:firstColumn="1" w:firstRow="1" w:lastColumn="0" w:lastRow="0" w:noHBand="0" w:noVBand="1" w:val="04A0"/>
      </w:tblPr>
      <w:tblGrid>
        <w:gridCol w:w="10426"/>
      </w:tblGrid>
      <w:tr>
        <w:tc>
          <w:tcPr>
            <w:tcW w:type="dxa" w:w="10426"/>
            <w:shd w:fill="F3F6FA"/>
            <w:tcBorders>
              <w:top w:val="single" w:sz="3" w:color="C7D8EB"/>
              <w:left w:val="single" w:sz="3" w:color="C7D8EB"/>
              <w:bottom w:val="single" w:sz="3" w:color="C7D8EB"/>
              <w:right w:val="single" w:sz="3" w:color="C7D8EB"/>
            </w:tcBorders>
          </w:tcPr>
          <w:p>
            <w:pPr>
              <w:pStyle w:val="CodeBlock"/>
            </w:pPr>
            <w:r>
              <w:t>Analyse le lot demandé à partir du corpus Diaba Auto.</w:t>
            </w:r>
            <w:r>
              <w:br/>
            </w:r>
            <w:r>
              <w:t>1) Identifie les exigences et règles métier applicables.</w:t>
            </w:r>
            <w:r>
              <w:br/>
            </w:r>
            <w:r>
              <w:t>2) Liste les fichiers, modèles, migrations, permissions et tests à créer/modifier.</w:t>
            </w:r>
            <w:r>
              <w:br/>
            </w:r>
            <w:r>
              <w:t>3) Vérifie les impacts sur le document 03 (source données) et le document 08 (règles métier).</w:t>
            </w:r>
            <w:r>
              <w:br/>
            </w:r>
            <w:r>
              <w:t>4) Implémente sans ajouter de fonctionnalité hors périmètre.</w:t>
            </w:r>
            <w:r>
              <w:br/>
            </w:r>
            <w:r>
              <w:t>5) Exécute lint, typecheck, tests et build.</w:t>
            </w:r>
            <w:r>
              <w:br/>
            </w:r>
            <w:r>
              <w:t>6) Signale toute divergence ou décision non couverte au lieu de l’inventer.</w:t>
            </w:r>
          </w:p>
        </w:tc>
      </w:tr>
    </w:tbl>
    <w:p>
      <w:pPr>
        <w:spacing w:after="20"/>
      </w:pPr>
    </w:p>
    <w:p>
      <w:pPr>
        <w:pStyle w:val="Heading1"/>
      </w:pPr>
      <w:r>
        <w:t>12. Critère de réussite global</w:t>
      </w:r>
    </w:p>
    <w:p>
      <w:r>
        <w:t>Diaba Auto est considéré prêt au lancement lorsque les parcours visiteur → WhatsApp, Standard → My Diaba Auto, Revendeur → tarif approuvé, commercial → véhicule/prospect/commande et administrateur → configuration/audit passent les tests du document 14, sans paiement en ligne et avec protections de sécurité du document 17.</w:t>
      </w:r>
    </w:p>
    <w:sectPr w:rsidR="00FC693F" w:rsidRPr="0006063C" w:rsidSect="00034616">
      <w:headerReference w:type="default" r:id="rId10"/>
      <w:footerReference w:type="default" r:id="rId11"/>
      <w:pgSz w:w="12240" w:h="15840"/>
      <w:pgMar w:top="879" w:right="907" w:bottom="822"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676"/>
        <w:sz w:val="15"/>
      </w:rPr>
      <w:t xml:space="preserve">Confidentiel - Projet Diaba Auto  |  Version 1.0  |  </w:t>
    </w:r>
    <w:r>
      <w:rPr>
        <w:color w:val="5B667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12B1FC"/>
      </w:pBdr>
    </w:pPr>
    <w:r>
      <w:rPr>
        <w:rFonts w:ascii="Arial" w:hAnsi="Arial"/>
        <w:b/>
        <w:color w:val="012E75"/>
        <w:sz w:val="15"/>
      </w:rPr>
      <w:t>Diaba Auto  |  21  |  Prompt maître de développement 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4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12E7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165E3"/>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14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12E7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14203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