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25330" w14:textId="30B15635" w:rsidR="00E70473" w:rsidRDefault="00E70473" w:rsidP="00E70473">
      <w:pPr>
        <w:pBdr>
          <w:top w:val="nil"/>
          <w:left w:val="nil"/>
          <w:bottom w:val="nil"/>
          <w:right w:val="nil"/>
          <w:between w:val="nil"/>
        </w:pBdr>
        <w:tabs>
          <w:tab w:val="left" w:pos="2790"/>
          <w:tab w:val="left" w:pos="5040"/>
          <w:tab w:val="left" w:pos="7290"/>
          <w:tab w:val="left" w:pos="8370"/>
          <w:tab w:val="right" w:pos="9630"/>
        </w:tabs>
        <w:spacing w:before="120"/>
        <w:jc w:val="center"/>
        <w:rPr>
          <w:rFonts w:eastAsia="Arial"/>
          <w:b/>
          <w:color w:val="000000"/>
        </w:rPr>
      </w:pPr>
      <w:r>
        <w:rPr>
          <w:rFonts w:eastAsia="Arial"/>
          <w:b/>
          <w:color w:val="000000"/>
        </w:rPr>
        <w:t>AI and equitable decision making</w:t>
      </w:r>
    </w:p>
    <w:p w14:paraId="3BBD92CD" w14:textId="77777777" w:rsidR="00E70473" w:rsidRDefault="00E70473" w:rsidP="00E70473">
      <w:pPr>
        <w:pBdr>
          <w:top w:val="nil"/>
          <w:left w:val="nil"/>
          <w:bottom w:val="nil"/>
          <w:right w:val="nil"/>
          <w:between w:val="nil"/>
        </w:pBdr>
        <w:tabs>
          <w:tab w:val="left" w:pos="2790"/>
          <w:tab w:val="left" w:pos="5040"/>
          <w:tab w:val="left" w:pos="7290"/>
          <w:tab w:val="left" w:pos="8370"/>
          <w:tab w:val="right" w:pos="9630"/>
        </w:tabs>
        <w:spacing w:before="120"/>
        <w:rPr>
          <w:rFonts w:eastAsia="Arial"/>
          <w:b/>
          <w:color w:val="000000"/>
        </w:rPr>
      </w:pPr>
    </w:p>
    <w:p w14:paraId="56B394AA" w14:textId="1B8E436E" w:rsidR="0036131F" w:rsidRPr="004842AD" w:rsidRDefault="0036131F" w:rsidP="00E70473">
      <w:pPr>
        <w:pBdr>
          <w:top w:val="nil"/>
          <w:left w:val="nil"/>
          <w:bottom w:val="nil"/>
          <w:right w:val="nil"/>
          <w:between w:val="nil"/>
        </w:pBdr>
        <w:tabs>
          <w:tab w:val="left" w:pos="2790"/>
          <w:tab w:val="left" w:pos="5040"/>
          <w:tab w:val="left" w:pos="7290"/>
          <w:tab w:val="left" w:pos="8370"/>
          <w:tab w:val="right" w:pos="9630"/>
        </w:tabs>
        <w:spacing w:before="120"/>
        <w:rPr>
          <w:rFonts w:eastAsia="Arial"/>
          <w:color w:val="000000"/>
        </w:rPr>
      </w:pPr>
      <w:r w:rsidRPr="004842AD">
        <w:rPr>
          <w:rFonts w:eastAsia="Arial"/>
          <w:color w:val="000000"/>
        </w:rPr>
        <w:t xml:space="preserve">            As artificial intelligence (AI) continues to gain momentum due to rapid advancements in machine learning, improved computing power, and availability of data, organizations are leveraging AI for improvement in various capacities like data analysis, automation, and decision-making. AI has presented unprecedented opportunities for public service agencies to improve their efficiency, effectiveness, and responsiveness (Desouza &amp; Fatima, 2023; McDonald et al., 2022). Nonprofit organizations can harness the power of AI in unique ways from other sectors, such as in managing donors, fundraising, grant writing, and communication with stakeholders. While literature suggests nonprofits can benefit from utilizing certain types of information technology (IT) (Azevedo, 2021; Hackler &amp; Saxton, 2007), there is a dearth of literature on the use of AI for nonprofit management and more specifically on how AI is used for decision- making within the sector (</w:t>
      </w:r>
      <w:proofErr w:type="spellStart"/>
      <w:r w:rsidRPr="004842AD">
        <w:rPr>
          <w:rFonts w:eastAsia="Arial"/>
          <w:color w:val="000000"/>
        </w:rPr>
        <w:t>Alsobi</w:t>
      </w:r>
      <w:proofErr w:type="spellEnd"/>
      <w:r w:rsidRPr="004842AD">
        <w:rPr>
          <w:rFonts w:eastAsia="Arial"/>
          <w:color w:val="000000"/>
        </w:rPr>
        <w:t xml:space="preserve"> et al., 2023; Azevedo, 2021). Further, given the challenges and ethical concerns associated with development and implementation of AI in different capacities, such as bias and discriminatory outcomes, lack of transparency, and privacy (Mallinson et al., 2023) in addition to algorithms behind AI having potential to disproportionately harm vulnerable members of society (Cheng, Varshney, &amp; Liu, 2021; Rodrigues, 2020), it is worth examining how AI can promote or hinder equity in nonprofit management practices.</w:t>
      </w:r>
    </w:p>
    <w:p w14:paraId="2D271E28" w14:textId="2B223263" w:rsidR="0036131F" w:rsidRPr="004842AD" w:rsidRDefault="0036131F" w:rsidP="00E70473">
      <w:pPr>
        <w:pBdr>
          <w:top w:val="nil"/>
          <w:left w:val="nil"/>
          <w:bottom w:val="nil"/>
          <w:right w:val="nil"/>
          <w:between w:val="nil"/>
        </w:pBdr>
        <w:tabs>
          <w:tab w:val="left" w:pos="2790"/>
          <w:tab w:val="left" w:pos="5040"/>
          <w:tab w:val="left" w:pos="7290"/>
          <w:tab w:val="left" w:pos="8370"/>
          <w:tab w:val="right" w:pos="9630"/>
        </w:tabs>
        <w:spacing w:before="120"/>
        <w:rPr>
          <w:rFonts w:eastAsia="Arial"/>
          <w:color w:val="000000"/>
        </w:rPr>
      </w:pPr>
      <w:r w:rsidRPr="004842AD">
        <w:rPr>
          <w:rFonts w:eastAsia="Arial"/>
          <w:color w:val="000000"/>
        </w:rPr>
        <w:t xml:space="preserve">              Previous research suggests that certain types of information technology (IT) can help nonprofits make better decisions (Azevedo, 2021). Decision-making is an important capacity for nonprofit organizations as it can help to think strategically, improve problem solving, ensure effective allocation of resources, navigate uncertainty and crisis, remain responsive, build leadership capacity, foster integrity, and enhance equity (Bell, Masaoka, &amp; Zimmerman, 2010; Gregory, Ngo, &amp; Miller, 2020; Krug &amp; Weinburg, 2004). Equitable decision-making in nonprofits may be influenced by factors such as board diversity, a commitment to diversity, equity, and inclusion (DEI), and </w:t>
      </w:r>
      <w:r w:rsidR="00E70473" w:rsidRPr="004842AD">
        <w:rPr>
          <w:rFonts w:eastAsia="Arial"/>
          <w:color w:val="000000"/>
        </w:rPr>
        <w:t>strategy-based</w:t>
      </w:r>
      <w:r w:rsidRPr="004842AD">
        <w:rPr>
          <w:rFonts w:eastAsia="Arial"/>
          <w:color w:val="000000"/>
        </w:rPr>
        <w:t xml:space="preserve"> decision-making, among other factors (Azevedo et al., 2021). </w:t>
      </w:r>
      <w:r w:rsidR="00E70473">
        <w:rPr>
          <w:rFonts w:eastAsia="Arial"/>
          <w:color w:val="000000"/>
        </w:rPr>
        <w:t>Our paper</w:t>
      </w:r>
      <w:r w:rsidRPr="004842AD">
        <w:rPr>
          <w:rFonts w:eastAsia="Arial"/>
          <w:color w:val="000000"/>
        </w:rPr>
        <w:t xml:space="preserve"> seeks to explore how AI is used in practice and in decision-making for nonprofits and further to understand how AI can enhance or diminish equity in</w:t>
      </w:r>
      <w:r w:rsidR="00E70473">
        <w:rPr>
          <w:rFonts w:eastAsia="Arial"/>
          <w:color w:val="000000"/>
        </w:rPr>
        <w:t xml:space="preserve"> </w:t>
      </w:r>
      <w:r w:rsidRPr="004842AD">
        <w:rPr>
          <w:rFonts w:eastAsia="Arial"/>
          <w:color w:val="000000"/>
        </w:rPr>
        <w:t>decision-making among nonprofit leaders.</w:t>
      </w:r>
      <w:r w:rsidR="00E70473">
        <w:rPr>
          <w:rFonts w:eastAsia="Arial"/>
          <w:color w:val="000000"/>
        </w:rPr>
        <w:t xml:space="preserve"> </w:t>
      </w:r>
      <w:r>
        <w:rPr>
          <w:rFonts w:eastAsia="Arial"/>
          <w:color w:val="000000"/>
        </w:rPr>
        <w:t xml:space="preserve">The </w:t>
      </w:r>
      <w:r w:rsidR="00E70473">
        <w:rPr>
          <w:rFonts w:eastAsia="Arial"/>
          <w:color w:val="000000"/>
        </w:rPr>
        <w:t>r</w:t>
      </w:r>
      <w:r w:rsidR="00E70473" w:rsidRPr="004842AD">
        <w:rPr>
          <w:rFonts w:eastAsia="Arial"/>
          <w:color w:val="000000"/>
        </w:rPr>
        <w:t>esearch</w:t>
      </w:r>
      <w:r w:rsidRPr="004842AD">
        <w:rPr>
          <w:rFonts w:eastAsia="Arial"/>
          <w:color w:val="000000"/>
        </w:rPr>
        <w:t xml:space="preserve"> questions</w:t>
      </w:r>
      <w:r>
        <w:rPr>
          <w:rFonts w:eastAsia="Arial"/>
          <w:color w:val="000000"/>
        </w:rPr>
        <w:t xml:space="preserve"> are</w:t>
      </w:r>
      <w:r w:rsidRPr="004842AD">
        <w:rPr>
          <w:rFonts w:eastAsia="Arial"/>
          <w:color w:val="000000"/>
        </w:rPr>
        <w:t>: 1. What factors determine whether AI can</w:t>
      </w:r>
      <w:r>
        <w:rPr>
          <w:rFonts w:eastAsia="Arial"/>
          <w:color w:val="000000"/>
        </w:rPr>
        <w:t xml:space="preserve"> </w:t>
      </w:r>
      <w:r w:rsidRPr="004842AD">
        <w:rPr>
          <w:rFonts w:eastAsia="Arial"/>
          <w:color w:val="000000"/>
        </w:rPr>
        <w:t>enhance equitable decision-making and 2. What governance mechanisms facilitate equitable use</w:t>
      </w:r>
      <w:r>
        <w:rPr>
          <w:rFonts w:eastAsia="Arial"/>
          <w:color w:val="000000"/>
        </w:rPr>
        <w:t xml:space="preserve"> </w:t>
      </w:r>
      <w:r w:rsidRPr="004842AD">
        <w:rPr>
          <w:rFonts w:eastAsia="Arial"/>
          <w:color w:val="000000"/>
        </w:rPr>
        <w:t>of AI?</w:t>
      </w:r>
      <w:r w:rsidR="00E70473" w:rsidRPr="00E70473">
        <w:rPr>
          <w:rFonts w:eastAsia="Arial"/>
          <w:color w:val="000000"/>
        </w:rPr>
        <w:t xml:space="preserve"> </w:t>
      </w:r>
      <w:r w:rsidR="00E70473" w:rsidRPr="004842AD">
        <w:rPr>
          <w:rFonts w:eastAsia="Arial"/>
          <w:color w:val="000000"/>
        </w:rPr>
        <w:t>The independent variables are commitment to</w:t>
      </w:r>
      <w:r w:rsidR="00E70473">
        <w:rPr>
          <w:rFonts w:eastAsia="Arial"/>
          <w:color w:val="000000"/>
        </w:rPr>
        <w:t xml:space="preserve"> </w:t>
      </w:r>
      <w:r w:rsidR="00E70473" w:rsidRPr="004842AD">
        <w:rPr>
          <w:rFonts w:eastAsia="Arial"/>
          <w:color w:val="000000"/>
        </w:rPr>
        <w:t xml:space="preserve">diversity, equity, and inclusion (DEI) </w:t>
      </w:r>
      <w:r w:rsidR="00E70473">
        <w:rPr>
          <w:rFonts w:eastAsia="Arial"/>
          <w:color w:val="000000"/>
        </w:rPr>
        <w:t xml:space="preserve">and good governance (including </w:t>
      </w:r>
      <w:r w:rsidR="00E70473" w:rsidRPr="004842AD">
        <w:rPr>
          <w:rFonts w:eastAsia="Arial"/>
          <w:color w:val="000000"/>
        </w:rPr>
        <w:t>measures like power sharing, board vitality, good communication, positive culture, evolutionary</w:t>
      </w:r>
      <w:r w:rsidR="00E70473">
        <w:rPr>
          <w:rFonts w:eastAsia="Arial"/>
          <w:color w:val="000000"/>
        </w:rPr>
        <w:t xml:space="preserve"> </w:t>
      </w:r>
      <w:r w:rsidR="00E70473" w:rsidRPr="004842AD">
        <w:rPr>
          <w:rFonts w:eastAsia="Arial"/>
          <w:color w:val="000000"/>
        </w:rPr>
        <w:t>governance, and conflict management). The two dependent variables include equitable decision-</w:t>
      </w:r>
      <w:r w:rsidR="00E70473">
        <w:rPr>
          <w:rFonts w:eastAsia="Arial"/>
          <w:color w:val="000000"/>
        </w:rPr>
        <w:t xml:space="preserve"> </w:t>
      </w:r>
      <w:r w:rsidR="00E70473" w:rsidRPr="004842AD">
        <w:rPr>
          <w:rFonts w:eastAsia="Arial"/>
          <w:color w:val="000000"/>
        </w:rPr>
        <w:t xml:space="preserve">making, based on a previous framework (Azevedo &amp; Bell, </w:t>
      </w:r>
      <w:r w:rsidR="00E70473">
        <w:rPr>
          <w:rFonts w:eastAsia="Arial"/>
          <w:color w:val="000000"/>
        </w:rPr>
        <w:t>2025</w:t>
      </w:r>
      <w:r w:rsidR="00E70473" w:rsidRPr="004842AD">
        <w:rPr>
          <w:rFonts w:eastAsia="Arial"/>
          <w:color w:val="000000"/>
        </w:rPr>
        <w:t>), and equitable use of</w:t>
      </w:r>
      <w:r w:rsidR="00E70473">
        <w:rPr>
          <w:rFonts w:eastAsia="Arial"/>
          <w:color w:val="000000"/>
        </w:rPr>
        <w:t xml:space="preserve"> </w:t>
      </w:r>
      <w:r w:rsidR="00E70473" w:rsidRPr="004842AD">
        <w:rPr>
          <w:rFonts w:eastAsia="Arial"/>
          <w:color w:val="000000"/>
        </w:rPr>
        <w:t>AI.</w:t>
      </w:r>
    </w:p>
    <w:p w14:paraId="7C80BDDC" w14:textId="6BBD757A" w:rsidR="00DA4B99" w:rsidRDefault="0036131F" w:rsidP="00E70473">
      <w:pPr>
        <w:pBdr>
          <w:top w:val="nil"/>
          <w:left w:val="nil"/>
          <w:bottom w:val="nil"/>
          <w:right w:val="nil"/>
          <w:between w:val="nil"/>
        </w:pBdr>
        <w:tabs>
          <w:tab w:val="left" w:pos="2790"/>
          <w:tab w:val="left" w:pos="5040"/>
          <w:tab w:val="left" w:pos="7290"/>
          <w:tab w:val="left" w:pos="8370"/>
          <w:tab w:val="right" w:pos="9630"/>
        </w:tabs>
        <w:spacing w:before="120"/>
      </w:pPr>
      <w:r>
        <w:rPr>
          <w:rFonts w:eastAsia="Arial"/>
          <w:color w:val="000000"/>
        </w:rPr>
        <w:t xml:space="preserve">         </w:t>
      </w:r>
      <w:r w:rsidR="00E70473">
        <w:rPr>
          <w:rFonts w:eastAsia="Arial"/>
          <w:color w:val="000000"/>
        </w:rPr>
        <w:t xml:space="preserve">Surveys were sent to </w:t>
      </w:r>
      <w:r w:rsidRPr="004842AD">
        <w:rPr>
          <w:rFonts w:eastAsia="Arial"/>
          <w:color w:val="000000"/>
        </w:rPr>
        <w:t>nonprofit leaders across the United States</w:t>
      </w:r>
      <w:r w:rsidR="00E70473">
        <w:rPr>
          <w:rFonts w:eastAsia="Arial"/>
          <w:color w:val="000000"/>
        </w:rPr>
        <w:t xml:space="preserve"> </w:t>
      </w:r>
      <w:r w:rsidRPr="004842AD">
        <w:rPr>
          <w:rFonts w:eastAsia="Arial"/>
          <w:color w:val="000000"/>
        </w:rPr>
        <w:t>who are</w:t>
      </w:r>
      <w:r>
        <w:rPr>
          <w:rFonts w:eastAsia="Arial"/>
          <w:color w:val="000000"/>
        </w:rPr>
        <w:t xml:space="preserve"> </w:t>
      </w:r>
      <w:r w:rsidRPr="004842AD">
        <w:rPr>
          <w:rFonts w:eastAsia="Arial"/>
          <w:color w:val="000000"/>
        </w:rPr>
        <w:t xml:space="preserve">leaders </w:t>
      </w:r>
      <w:r>
        <w:rPr>
          <w:rFonts w:eastAsia="Arial"/>
          <w:color w:val="000000"/>
        </w:rPr>
        <w:t xml:space="preserve">(executive directors or members of the executive board) </w:t>
      </w:r>
      <w:r w:rsidRPr="004842AD">
        <w:rPr>
          <w:rFonts w:eastAsia="Arial"/>
          <w:color w:val="000000"/>
        </w:rPr>
        <w:t>of community foundations. Community foundations are 501(c)(3) charitable nonprofit</w:t>
      </w:r>
      <w:r>
        <w:rPr>
          <w:rFonts w:eastAsia="Arial"/>
          <w:color w:val="000000"/>
        </w:rPr>
        <w:t xml:space="preserve"> </w:t>
      </w:r>
      <w:r w:rsidRPr="004842AD">
        <w:rPr>
          <w:rFonts w:eastAsia="Arial"/>
          <w:color w:val="000000"/>
        </w:rPr>
        <w:t>organizations that build community philanthropy within their specific geographic localities</w:t>
      </w:r>
      <w:r>
        <w:rPr>
          <w:rFonts w:eastAsia="Arial"/>
          <w:color w:val="000000"/>
        </w:rPr>
        <w:t xml:space="preserve"> </w:t>
      </w:r>
      <w:r w:rsidRPr="004842AD">
        <w:rPr>
          <w:rFonts w:eastAsia="Arial"/>
          <w:color w:val="000000"/>
        </w:rPr>
        <w:t>(Azevedo, 2021). They are important partners for community development and have played key</w:t>
      </w:r>
      <w:r>
        <w:rPr>
          <w:rFonts w:eastAsia="Arial"/>
          <w:color w:val="000000"/>
        </w:rPr>
        <w:t xml:space="preserve"> </w:t>
      </w:r>
      <w:r w:rsidRPr="004842AD">
        <w:rPr>
          <w:rFonts w:eastAsia="Arial"/>
          <w:color w:val="000000"/>
        </w:rPr>
        <w:t xml:space="preserve">roles in crisis response </w:t>
      </w:r>
      <w:r>
        <w:rPr>
          <w:rFonts w:eastAsia="Arial"/>
          <w:color w:val="000000"/>
        </w:rPr>
        <w:t xml:space="preserve">and community development </w:t>
      </w:r>
      <w:r w:rsidRPr="004842AD">
        <w:rPr>
          <w:rFonts w:eastAsia="Arial"/>
          <w:color w:val="000000"/>
        </w:rPr>
        <w:t>(Azevedo et al., 2022), showing their important role in civil society.</w:t>
      </w:r>
      <w:r>
        <w:rPr>
          <w:rFonts w:eastAsia="Arial"/>
          <w:color w:val="000000"/>
        </w:rPr>
        <w:t xml:space="preserve"> </w:t>
      </w:r>
      <w:r w:rsidRPr="004842AD">
        <w:rPr>
          <w:rFonts w:eastAsia="Arial"/>
          <w:color w:val="000000"/>
        </w:rPr>
        <w:t>Community foundations also have significant financial capital compared to other types of</w:t>
      </w:r>
      <w:r>
        <w:rPr>
          <w:rFonts w:eastAsia="Arial"/>
          <w:color w:val="000000"/>
        </w:rPr>
        <w:t xml:space="preserve"> </w:t>
      </w:r>
      <w:r w:rsidRPr="004842AD">
        <w:rPr>
          <w:rFonts w:eastAsia="Arial"/>
          <w:color w:val="000000"/>
        </w:rPr>
        <w:t>nonprofit organizations (Azevedo, 2021) making their use of AI and equitable decision-making</w:t>
      </w:r>
      <w:r>
        <w:rPr>
          <w:rFonts w:eastAsia="Arial"/>
          <w:color w:val="000000"/>
        </w:rPr>
        <w:t xml:space="preserve"> </w:t>
      </w:r>
      <w:r w:rsidRPr="004842AD">
        <w:rPr>
          <w:rFonts w:eastAsia="Arial"/>
          <w:color w:val="000000"/>
        </w:rPr>
        <w:t xml:space="preserve">particularly worth exploring. Survey data </w:t>
      </w:r>
      <w:r w:rsidR="00E70473">
        <w:rPr>
          <w:rFonts w:eastAsia="Arial"/>
          <w:color w:val="000000"/>
        </w:rPr>
        <w:t xml:space="preserve">is </w:t>
      </w:r>
      <w:r w:rsidRPr="004842AD">
        <w:rPr>
          <w:rFonts w:eastAsia="Arial"/>
          <w:color w:val="000000"/>
        </w:rPr>
        <w:t xml:space="preserve">analyzed utilizing </w:t>
      </w:r>
      <w:r>
        <w:rPr>
          <w:rFonts w:eastAsia="Arial"/>
          <w:color w:val="000000"/>
        </w:rPr>
        <w:t xml:space="preserve">structural equation modeling </w:t>
      </w:r>
      <w:r>
        <w:rPr>
          <w:rFonts w:eastAsia="Arial"/>
          <w:color w:val="000000"/>
        </w:rPr>
        <w:lastRenderedPageBreak/>
        <w:t>(SEM)</w:t>
      </w:r>
      <w:r w:rsidR="00E70473">
        <w:rPr>
          <w:rFonts w:eastAsia="Arial"/>
          <w:color w:val="000000"/>
        </w:rPr>
        <w:t xml:space="preserve"> and</w:t>
      </w:r>
      <w:r>
        <w:rPr>
          <w:rFonts w:eastAsia="Arial"/>
          <w:color w:val="000000"/>
        </w:rPr>
        <w:t xml:space="preserve"> examines specific endogenous variables (commitment to DEI and governance practices) and their relationship with the exogenous variables (equitable decision-making and equitable AI practices)</w:t>
      </w:r>
      <w:r w:rsidR="00E70473">
        <w:rPr>
          <w:rFonts w:eastAsia="Arial"/>
          <w:color w:val="000000"/>
        </w:rPr>
        <w:t>.</w:t>
      </w:r>
      <w:r>
        <w:rPr>
          <w:rFonts w:eastAsia="Arial"/>
          <w:color w:val="000000"/>
        </w:rPr>
        <w:t xml:space="preserve"> </w:t>
      </w:r>
    </w:p>
    <w:p w14:paraId="7724D491" w14:textId="2C3F2BE9" w:rsidR="00E70473" w:rsidRPr="004842AD" w:rsidRDefault="00E70473" w:rsidP="00E70473">
      <w:pPr>
        <w:pBdr>
          <w:top w:val="nil"/>
          <w:left w:val="nil"/>
          <w:bottom w:val="nil"/>
          <w:right w:val="nil"/>
          <w:between w:val="nil"/>
        </w:pBdr>
        <w:tabs>
          <w:tab w:val="left" w:pos="2790"/>
          <w:tab w:val="left" w:pos="5040"/>
          <w:tab w:val="left" w:pos="7290"/>
          <w:tab w:val="left" w:pos="8370"/>
          <w:tab w:val="right" w:pos="9630"/>
        </w:tabs>
        <w:spacing w:before="120"/>
        <w:rPr>
          <w:rFonts w:eastAsia="Arial"/>
          <w:color w:val="000000"/>
        </w:rPr>
      </w:pPr>
      <w:r w:rsidRPr="004842AD">
        <w:rPr>
          <w:rFonts w:eastAsia="Arial"/>
          <w:color w:val="000000"/>
        </w:rPr>
        <w:t xml:space="preserve">          Nonprofits can benefit from utilizing various capacity building tools like information</w:t>
      </w:r>
      <w:r>
        <w:rPr>
          <w:rFonts w:eastAsia="Arial"/>
          <w:color w:val="000000"/>
        </w:rPr>
        <w:t xml:space="preserve"> </w:t>
      </w:r>
      <w:r w:rsidRPr="004842AD">
        <w:rPr>
          <w:rFonts w:eastAsia="Arial"/>
          <w:color w:val="000000"/>
        </w:rPr>
        <w:t>technology and AI due to the resource constraints within the sector. For nonprofit leaders and managers, using AI in decision-making can help in aligning the organization’s mission, avoiding inequities, better understanding and empowering communities, optimizing resources, building stakeholder trust, creating best practices, ensuring compliance with external constituencies, and becoming more innovative and resilient (</w:t>
      </w:r>
      <w:proofErr w:type="spellStart"/>
      <w:r w:rsidRPr="004842AD">
        <w:rPr>
          <w:rFonts w:eastAsia="Arial"/>
          <w:color w:val="000000"/>
        </w:rPr>
        <w:t>Guetzko</w:t>
      </w:r>
      <w:proofErr w:type="spellEnd"/>
      <w:r w:rsidRPr="004842AD">
        <w:rPr>
          <w:rFonts w:eastAsia="Arial"/>
          <w:color w:val="000000"/>
        </w:rPr>
        <w:t>, 2019); however, understanding equity in AI and in decision-making is a wide-scale concern due to the potential for inherent bias in the data and algorithms that AI systems use (Busuioc, 2021). Studying equity in the application of AI is critical for many reasons, including bias</w:t>
      </w:r>
      <w:r>
        <w:rPr>
          <w:rFonts w:eastAsia="Arial"/>
          <w:color w:val="000000"/>
        </w:rPr>
        <w:t xml:space="preserve"> </w:t>
      </w:r>
      <w:r w:rsidRPr="004842AD">
        <w:rPr>
          <w:rFonts w:eastAsia="Arial"/>
          <w:color w:val="000000"/>
        </w:rPr>
        <w:t xml:space="preserve">mitigation, access to services, building trust, preventing discrimination, and </w:t>
      </w:r>
      <w:proofErr w:type="gramStart"/>
      <w:r w:rsidRPr="004842AD">
        <w:rPr>
          <w:rFonts w:eastAsia="Arial"/>
          <w:color w:val="000000"/>
        </w:rPr>
        <w:t>long term</w:t>
      </w:r>
      <w:proofErr w:type="gramEnd"/>
      <w:r>
        <w:rPr>
          <w:rFonts w:eastAsia="Arial"/>
          <w:color w:val="000000"/>
        </w:rPr>
        <w:t xml:space="preserve"> </w:t>
      </w:r>
      <w:r w:rsidRPr="004842AD">
        <w:rPr>
          <w:rFonts w:eastAsia="Arial"/>
          <w:color w:val="000000"/>
        </w:rPr>
        <w:t>sustainable impact. Additionally, understanding how nonprofit governance mechanisms facilitate equitable usage of AI is important for safeguarding the responsible and beneficial use of AI in society and to foster an environment where AI is used for good. This work has the potential to contribute knowledge sharing and foster a collective effort to address challenges and promote responsible AI practices in and beyond the nonprofit sector.</w:t>
      </w:r>
    </w:p>
    <w:p w14:paraId="0FCD599D" w14:textId="538A48F8" w:rsidR="00E70473" w:rsidRDefault="00E70473">
      <w:pPr>
        <w:spacing w:after="160" w:line="278" w:lineRule="auto"/>
        <w:rPr>
          <w:rFonts w:eastAsia="Arial"/>
          <w:color w:val="000000"/>
        </w:rPr>
      </w:pPr>
      <w:r>
        <w:rPr>
          <w:rFonts w:eastAsia="Arial"/>
          <w:color w:val="000000"/>
        </w:rPr>
        <w:br w:type="page"/>
      </w:r>
    </w:p>
    <w:p w14:paraId="7B1E3286" w14:textId="7BD35687" w:rsidR="00E70473" w:rsidRDefault="00E70473" w:rsidP="00E70473">
      <w:pPr>
        <w:pBdr>
          <w:top w:val="nil"/>
          <w:left w:val="nil"/>
          <w:bottom w:val="nil"/>
          <w:right w:val="nil"/>
          <w:between w:val="nil"/>
        </w:pBdr>
        <w:tabs>
          <w:tab w:val="left" w:pos="2790"/>
          <w:tab w:val="left" w:pos="5040"/>
          <w:tab w:val="left" w:pos="7290"/>
          <w:tab w:val="left" w:pos="8370"/>
          <w:tab w:val="right" w:pos="9630"/>
        </w:tabs>
        <w:spacing w:before="120"/>
        <w:rPr>
          <w:rFonts w:eastAsia="Arial"/>
          <w:color w:val="000000"/>
        </w:rPr>
      </w:pPr>
      <w:r>
        <w:rPr>
          <w:rFonts w:eastAsia="Arial"/>
          <w:color w:val="000000"/>
        </w:rPr>
        <w:lastRenderedPageBreak/>
        <w:t>References</w:t>
      </w:r>
    </w:p>
    <w:p w14:paraId="1DCB0BA4" w14:textId="77777777" w:rsidR="00E70473" w:rsidRPr="004842AD" w:rsidRDefault="00E70473" w:rsidP="00E70473">
      <w:pPr>
        <w:pBdr>
          <w:top w:val="nil"/>
          <w:left w:val="nil"/>
          <w:bottom w:val="nil"/>
          <w:right w:val="nil"/>
          <w:between w:val="nil"/>
        </w:pBdr>
        <w:tabs>
          <w:tab w:val="left" w:pos="2790"/>
          <w:tab w:val="left" w:pos="5040"/>
          <w:tab w:val="left" w:pos="7290"/>
          <w:tab w:val="left" w:pos="8370"/>
          <w:tab w:val="right" w:pos="9630"/>
          <w:tab w:val="left" w:pos="360"/>
        </w:tabs>
        <w:ind w:left="720" w:hanging="720"/>
        <w:rPr>
          <w:rFonts w:eastAsia="Arial"/>
          <w:bCs/>
          <w:color w:val="000000"/>
        </w:rPr>
      </w:pPr>
      <w:r w:rsidRPr="004842AD">
        <w:rPr>
          <w:rFonts w:eastAsia="Arial"/>
          <w:bCs/>
          <w:color w:val="000000"/>
        </w:rPr>
        <w:t xml:space="preserve">Azevedo, L. (2021). The impact of cloud management platforms on nonprofit business models. </w:t>
      </w:r>
      <w:r w:rsidRPr="004842AD">
        <w:rPr>
          <w:rFonts w:eastAsia="Arial"/>
          <w:bCs/>
          <w:i/>
          <w:iCs/>
          <w:color w:val="000000"/>
        </w:rPr>
        <w:t>Journal of Technology in Human Services, 39</w:t>
      </w:r>
      <w:r w:rsidRPr="004842AD">
        <w:rPr>
          <w:rFonts w:eastAsia="Arial"/>
          <w:bCs/>
          <w:color w:val="000000"/>
        </w:rPr>
        <w:t>(4), 405-425.</w:t>
      </w:r>
    </w:p>
    <w:p w14:paraId="118A471B" w14:textId="3894E643" w:rsidR="00E70473" w:rsidRPr="004842AD" w:rsidRDefault="00E70473" w:rsidP="00E70473">
      <w:pPr>
        <w:pBdr>
          <w:top w:val="nil"/>
          <w:left w:val="nil"/>
          <w:bottom w:val="nil"/>
          <w:right w:val="nil"/>
          <w:between w:val="nil"/>
        </w:pBdr>
        <w:tabs>
          <w:tab w:val="left" w:pos="2790"/>
          <w:tab w:val="left" w:pos="5040"/>
          <w:tab w:val="left" w:pos="7290"/>
          <w:tab w:val="left" w:pos="8370"/>
          <w:tab w:val="right" w:pos="9630"/>
          <w:tab w:val="left" w:pos="360"/>
        </w:tabs>
        <w:ind w:left="720" w:hanging="720"/>
        <w:rPr>
          <w:rFonts w:eastAsia="Arial"/>
          <w:bCs/>
          <w:color w:val="000000"/>
        </w:rPr>
      </w:pPr>
      <w:r w:rsidRPr="004842AD">
        <w:rPr>
          <w:rFonts w:eastAsia="Arial"/>
          <w:bCs/>
          <w:color w:val="000000"/>
        </w:rPr>
        <w:t>Azevedo, L. &amp; Bell, A. (</w:t>
      </w:r>
      <w:r>
        <w:rPr>
          <w:rFonts w:eastAsia="Arial"/>
          <w:bCs/>
          <w:color w:val="000000"/>
        </w:rPr>
        <w:t>2025</w:t>
      </w:r>
      <w:r w:rsidRPr="004842AD">
        <w:rPr>
          <w:rFonts w:eastAsia="Arial"/>
          <w:bCs/>
          <w:color w:val="000000"/>
        </w:rPr>
        <w:t>). Equitable Decision-Making in Homogenous Governance</w:t>
      </w:r>
    </w:p>
    <w:p w14:paraId="00D696F4" w14:textId="0C9B9CA9" w:rsidR="00E70473" w:rsidRPr="00E70473" w:rsidRDefault="00E70473" w:rsidP="00E70473">
      <w:pPr>
        <w:pBdr>
          <w:top w:val="nil"/>
          <w:left w:val="nil"/>
          <w:bottom w:val="nil"/>
          <w:right w:val="nil"/>
          <w:between w:val="nil"/>
        </w:pBdr>
        <w:tabs>
          <w:tab w:val="left" w:pos="2790"/>
          <w:tab w:val="left" w:pos="5040"/>
          <w:tab w:val="left" w:pos="7290"/>
          <w:tab w:val="left" w:pos="8370"/>
          <w:tab w:val="right" w:pos="9630"/>
          <w:tab w:val="left" w:pos="360"/>
        </w:tabs>
        <w:ind w:left="720" w:hanging="720"/>
        <w:rPr>
          <w:rFonts w:eastAsia="Arial"/>
          <w:b/>
          <w:bCs/>
          <w:color w:val="000000"/>
        </w:rPr>
      </w:pPr>
      <w:r>
        <w:rPr>
          <w:rFonts w:eastAsia="Arial"/>
          <w:bCs/>
          <w:color w:val="000000"/>
        </w:rPr>
        <w:tab/>
      </w:r>
      <w:r w:rsidRPr="004842AD">
        <w:rPr>
          <w:rFonts w:eastAsia="Arial"/>
          <w:bCs/>
          <w:color w:val="000000"/>
        </w:rPr>
        <w:t>Structures.</w:t>
      </w:r>
      <w:r w:rsidRPr="00E70473">
        <w:rPr>
          <w:rFonts w:asciiTheme="majorHAnsi" w:eastAsiaTheme="minorHAnsi" w:hAnsiTheme="majorHAnsi" w:cs="Farisi"/>
          <w:i/>
          <w:iCs/>
          <w:lang w:eastAsia="en-US"/>
        </w:rPr>
        <w:t xml:space="preserve"> </w:t>
      </w:r>
      <w:r w:rsidRPr="00E70473">
        <w:rPr>
          <w:rFonts w:eastAsia="Arial"/>
          <w:bCs/>
          <w:i/>
          <w:iCs/>
          <w:color w:val="000000"/>
        </w:rPr>
        <w:t>Nonprofit Management and Leadership</w:t>
      </w:r>
      <w:r w:rsidRPr="00E70473">
        <w:rPr>
          <w:rFonts w:eastAsia="Arial"/>
          <w:bCs/>
          <w:color w:val="000000"/>
        </w:rPr>
        <w:t>.</w:t>
      </w:r>
      <w:r w:rsidRPr="00E70473">
        <w:rPr>
          <w:rFonts w:eastAsia="Arial"/>
          <w:b/>
          <w:bCs/>
          <w:color w:val="000000"/>
        </w:rPr>
        <w:t xml:space="preserve"> </w:t>
      </w:r>
      <w:hyperlink r:id="rId5" w:history="1">
        <w:r w:rsidRPr="00E70473">
          <w:rPr>
            <w:rStyle w:val="Hyperlink"/>
            <w:rFonts w:eastAsia="Arial"/>
            <w:bCs/>
          </w:rPr>
          <w:t>https://doi.org/10.1002/nml.21643</w:t>
        </w:r>
      </w:hyperlink>
      <w:r w:rsidRPr="00E70473">
        <w:rPr>
          <w:rFonts w:eastAsia="Arial"/>
          <w:b/>
          <w:bCs/>
          <w:color w:val="000000"/>
        </w:rPr>
        <w:t xml:space="preserve"> </w:t>
      </w:r>
    </w:p>
    <w:p w14:paraId="4369AE56" w14:textId="77777777" w:rsidR="00E70473" w:rsidRPr="004842AD" w:rsidRDefault="00E70473" w:rsidP="00E70473">
      <w:pPr>
        <w:pBdr>
          <w:top w:val="nil"/>
          <w:left w:val="nil"/>
          <w:bottom w:val="nil"/>
          <w:right w:val="nil"/>
          <w:between w:val="nil"/>
        </w:pBdr>
        <w:tabs>
          <w:tab w:val="left" w:pos="2790"/>
          <w:tab w:val="left" w:pos="5040"/>
          <w:tab w:val="left" w:pos="7290"/>
          <w:tab w:val="left" w:pos="8370"/>
          <w:tab w:val="right" w:pos="9630"/>
          <w:tab w:val="left" w:pos="360"/>
        </w:tabs>
        <w:ind w:left="720" w:hanging="720"/>
        <w:rPr>
          <w:rFonts w:eastAsia="Arial"/>
          <w:bCs/>
          <w:color w:val="000000"/>
        </w:rPr>
      </w:pPr>
      <w:r w:rsidRPr="004842AD">
        <w:rPr>
          <w:rFonts w:eastAsia="Arial"/>
          <w:bCs/>
          <w:color w:val="000000"/>
        </w:rPr>
        <w:t>Azevedo, L., Gaynor, T. S., Shelby, K., &amp; Santos, G. (2021). The complexity of diversity and importance</w:t>
      </w:r>
      <w:r>
        <w:rPr>
          <w:rFonts w:eastAsia="Arial"/>
          <w:bCs/>
          <w:color w:val="000000"/>
        </w:rPr>
        <w:t xml:space="preserve"> </w:t>
      </w:r>
      <w:r w:rsidRPr="004842AD">
        <w:rPr>
          <w:rFonts w:eastAsia="Arial"/>
          <w:bCs/>
          <w:color w:val="000000"/>
        </w:rPr>
        <w:t xml:space="preserve">for equitable philanthropy. </w:t>
      </w:r>
      <w:r w:rsidRPr="004842AD">
        <w:rPr>
          <w:rFonts w:eastAsia="Arial"/>
          <w:bCs/>
          <w:i/>
          <w:iCs/>
          <w:color w:val="000000"/>
        </w:rPr>
        <w:t>Nonprofit Management and Leadership, 31</w:t>
      </w:r>
      <w:r w:rsidRPr="004842AD">
        <w:rPr>
          <w:rFonts w:eastAsia="Arial"/>
          <w:bCs/>
          <w:color w:val="000000"/>
        </w:rPr>
        <w:t>(3), 595-607.</w:t>
      </w:r>
    </w:p>
    <w:p w14:paraId="4851ECB7" w14:textId="77777777" w:rsidR="00E70473" w:rsidRPr="004842AD" w:rsidRDefault="00E70473" w:rsidP="00E70473">
      <w:pPr>
        <w:pBdr>
          <w:top w:val="nil"/>
          <w:left w:val="nil"/>
          <w:bottom w:val="nil"/>
          <w:right w:val="nil"/>
          <w:between w:val="nil"/>
        </w:pBdr>
        <w:tabs>
          <w:tab w:val="left" w:pos="2790"/>
          <w:tab w:val="left" w:pos="5040"/>
          <w:tab w:val="left" w:pos="7290"/>
          <w:tab w:val="left" w:pos="8370"/>
          <w:tab w:val="right" w:pos="9630"/>
          <w:tab w:val="left" w:pos="360"/>
        </w:tabs>
        <w:ind w:left="720" w:hanging="720"/>
        <w:rPr>
          <w:rFonts w:eastAsia="Arial"/>
          <w:bCs/>
          <w:color w:val="000000"/>
        </w:rPr>
      </w:pPr>
      <w:r w:rsidRPr="004842AD">
        <w:rPr>
          <w:rFonts w:eastAsia="Arial"/>
          <w:bCs/>
          <w:color w:val="000000"/>
        </w:rPr>
        <w:t>Azevedo, L., Bell, A., &amp; Medina, P. (2022). Community foundations provide collaborative responses and</w:t>
      </w:r>
      <w:r>
        <w:rPr>
          <w:rFonts w:eastAsia="Arial"/>
          <w:bCs/>
          <w:color w:val="000000"/>
        </w:rPr>
        <w:t xml:space="preserve"> </w:t>
      </w:r>
      <w:r w:rsidRPr="004842AD">
        <w:rPr>
          <w:rFonts w:eastAsia="Arial"/>
          <w:bCs/>
          <w:color w:val="000000"/>
        </w:rPr>
        <w:t xml:space="preserve">local leadership in midst of COVID-19. </w:t>
      </w:r>
      <w:r w:rsidRPr="004842AD">
        <w:rPr>
          <w:rFonts w:eastAsia="Arial"/>
          <w:bCs/>
          <w:i/>
          <w:iCs/>
          <w:color w:val="000000"/>
        </w:rPr>
        <w:t>Nonprofit Management and Leadership, 32</w:t>
      </w:r>
      <w:r w:rsidRPr="004842AD">
        <w:rPr>
          <w:rFonts w:eastAsia="Arial"/>
          <w:bCs/>
          <w:color w:val="000000"/>
        </w:rPr>
        <w:t>(3), 475-485.</w:t>
      </w:r>
    </w:p>
    <w:p w14:paraId="09F2F4C3" w14:textId="77777777" w:rsidR="00E70473" w:rsidRPr="004842AD" w:rsidRDefault="00E70473" w:rsidP="00E70473">
      <w:pPr>
        <w:pBdr>
          <w:top w:val="nil"/>
          <w:left w:val="nil"/>
          <w:bottom w:val="nil"/>
          <w:right w:val="nil"/>
          <w:between w:val="nil"/>
        </w:pBdr>
        <w:tabs>
          <w:tab w:val="left" w:pos="2790"/>
          <w:tab w:val="left" w:pos="5040"/>
          <w:tab w:val="left" w:pos="7290"/>
          <w:tab w:val="left" w:pos="8370"/>
          <w:tab w:val="right" w:pos="9630"/>
          <w:tab w:val="left" w:pos="360"/>
        </w:tabs>
        <w:ind w:left="720" w:hanging="720"/>
        <w:rPr>
          <w:rFonts w:eastAsia="Arial"/>
          <w:bCs/>
          <w:color w:val="000000"/>
        </w:rPr>
      </w:pPr>
      <w:r w:rsidRPr="004842AD">
        <w:rPr>
          <w:rFonts w:eastAsia="Arial"/>
          <w:bCs/>
          <w:color w:val="000000"/>
        </w:rPr>
        <w:t xml:space="preserve">Bell, J., Masaoka, J., &amp; Zimmerman, S. (2010). </w:t>
      </w:r>
      <w:r w:rsidRPr="004842AD">
        <w:rPr>
          <w:rFonts w:eastAsia="Arial"/>
          <w:bCs/>
          <w:i/>
          <w:iCs/>
          <w:color w:val="000000"/>
        </w:rPr>
        <w:t>Nonprofit sustainability: Making strategic decisions for financial viability</w:t>
      </w:r>
      <w:r w:rsidRPr="004842AD">
        <w:rPr>
          <w:rFonts w:eastAsia="Arial"/>
          <w:bCs/>
          <w:color w:val="000000"/>
        </w:rPr>
        <w:t>. John Wiley &amp; Sons.</w:t>
      </w:r>
    </w:p>
    <w:p w14:paraId="792FEBED" w14:textId="77777777" w:rsidR="00E70473" w:rsidRPr="004842AD" w:rsidRDefault="00E70473" w:rsidP="00E70473">
      <w:pPr>
        <w:pBdr>
          <w:top w:val="nil"/>
          <w:left w:val="nil"/>
          <w:bottom w:val="nil"/>
          <w:right w:val="nil"/>
          <w:between w:val="nil"/>
        </w:pBdr>
        <w:tabs>
          <w:tab w:val="left" w:pos="2790"/>
          <w:tab w:val="left" w:pos="5040"/>
          <w:tab w:val="left" w:pos="7290"/>
          <w:tab w:val="left" w:pos="8370"/>
          <w:tab w:val="right" w:pos="9630"/>
          <w:tab w:val="left" w:pos="360"/>
        </w:tabs>
        <w:ind w:left="720" w:hanging="720"/>
        <w:rPr>
          <w:rFonts w:eastAsia="Arial"/>
          <w:bCs/>
          <w:color w:val="000000"/>
        </w:rPr>
      </w:pPr>
      <w:r w:rsidRPr="004842AD">
        <w:rPr>
          <w:rFonts w:eastAsia="Arial"/>
          <w:bCs/>
          <w:color w:val="000000"/>
        </w:rPr>
        <w:t>Cheng, L., Varshney, K. R., &amp; Liu, H. (2021). Socially responsible ai algorithms: Issues, purposes, and</w:t>
      </w:r>
      <w:r>
        <w:rPr>
          <w:rFonts w:eastAsia="Arial"/>
          <w:bCs/>
          <w:color w:val="000000"/>
        </w:rPr>
        <w:t xml:space="preserve"> </w:t>
      </w:r>
      <w:r w:rsidRPr="004842AD">
        <w:rPr>
          <w:rFonts w:eastAsia="Arial"/>
          <w:bCs/>
          <w:color w:val="000000"/>
        </w:rPr>
        <w:t>challenges</w:t>
      </w:r>
      <w:r w:rsidRPr="004842AD">
        <w:rPr>
          <w:rFonts w:eastAsia="Arial"/>
          <w:bCs/>
          <w:i/>
          <w:iCs/>
          <w:color w:val="000000"/>
        </w:rPr>
        <w:t>. Journal of Artificial Intelligence Research, 71</w:t>
      </w:r>
      <w:r w:rsidRPr="004842AD">
        <w:rPr>
          <w:rFonts w:eastAsia="Arial"/>
          <w:bCs/>
          <w:color w:val="000000"/>
        </w:rPr>
        <w:t>, 1137-1181.</w:t>
      </w:r>
    </w:p>
    <w:p w14:paraId="3E7AE4B9" w14:textId="77777777" w:rsidR="00E70473" w:rsidRPr="004842AD" w:rsidRDefault="00E70473" w:rsidP="00E70473">
      <w:pPr>
        <w:pBdr>
          <w:top w:val="nil"/>
          <w:left w:val="nil"/>
          <w:bottom w:val="nil"/>
          <w:right w:val="nil"/>
          <w:between w:val="nil"/>
        </w:pBdr>
        <w:tabs>
          <w:tab w:val="left" w:pos="2790"/>
          <w:tab w:val="left" w:pos="5040"/>
          <w:tab w:val="left" w:pos="7290"/>
          <w:tab w:val="left" w:pos="8370"/>
          <w:tab w:val="right" w:pos="9630"/>
          <w:tab w:val="left" w:pos="360"/>
        </w:tabs>
        <w:ind w:left="720" w:hanging="720"/>
        <w:rPr>
          <w:rFonts w:eastAsia="Arial"/>
          <w:bCs/>
          <w:color w:val="000000"/>
        </w:rPr>
      </w:pPr>
      <w:r w:rsidRPr="004842AD">
        <w:rPr>
          <w:rFonts w:eastAsia="Arial"/>
          <w:bCs/>
          <w:color w:val="000000"/>
        </w:rPr>
        <w:t>Desouza, K.C., &amp; Fatima, S. (2023). Quantum Computing for Public Value: Insights from</w:t>
      </w:r>
    </w:p>
    <w:p w14:paraId="0BA57031" w14:textId="77777777" w:rsidR="00E70473" w:rsidRPr="004842AD" w:rsidRDefault="00E70473" w:rsidP="00E70473">
      <w:pPr>
        <w:pBdr>
          <w:top w:val="nil"/>
          <w:left w:val="nil"/>
          <w:bottom w:val="nil"/>
          <w:right w:val="nil"/>
          <w:between w:val="nil"/>
        </w:pBdr>
        <w:tabs>
          <w:tab w:val="left" w:pos="2790"/>
          <w:tab w:val="left" w:pos="5040"/>
          <w:tab w:val="left" w:pos="7290"/>
          <w:tab w:val="left" w:pos="8370"/>
          <w:tab w:val="right" w:pos="9630"/>
          <w:tab w:val="left" w:pos="360"/>
        </w:tabs>
        <w:ind w:left="720" w:hanging="720"/>
        <w:rPr>
          <w:rFonts w:eastAsia="Arial"/>
          <w:bCs/>
          <w:color w:val="000000"/>
        </w:rPr>
      </w:pPr>
      <w:r>
        <w:rPr>
          <w:rFonts w:eastAsia="Arial"/>
          <w:bCs/>
          <w:color w:val="000000"/>
        </w:rPr>
        <w:tab/>
      </w:r>
      <w:r w:rsidRPr="004842AD">
        <w:rPr>
          <w:rFonts w:eastAsia="Arial"/>
          <w:bCs/>
          <w:color w:val="000000"/>
        </w:rPr>
        <w:t>Australia. Accessed on March 2, 2024</w:t>
      </w:r>
    </w:p>
    <w:p w14:paraId="64CDB940" w14:textId="77777777" w:rsidR="00E70473" w:rsidRPr="004842AD" w:rsidRDefault="00E70473" w:rsidP="00E70473">
      <w:pPr>
        <w:pBdr>
          <w:top w:val="nil"/>
          <w:left w:val="nil"/>
          <w:bottom w:val="nil"/>
          <w:right w:val="nil"/>
          <w:between w:val="nil"/>
        </w:pBdr>
        <w:tabs>
          <w:tab w:val="left" w:pos="2790"/>
          <w:tab w:val="left" w:pos="5040"/>
          <w:tab w:val="left" w:pos="7290"/>
          <w:tab w:val="left" w:pos="8370"/>
          <w:tab w:val="right" w:pos="9630"/>
          <w:tab w:val="left" w:pos="360"/>
        </w:tabs>
        <w:ind w:left="720" w:hanging="720"/>
        <w:rPr>
          <w:rFonts w:eastAsia="Arial"/>
          <w:bCs/>
          <w:color w:val="000000"/>
        </w:rPr>
      </w:pPr>
      <w:r>
        <w:rPr>
          <w:rFonts w:eastAsia="Arial"/>
          <w:bCs/>
          <w:color w:val="000000"/>
        </w:rPr>
        <w:tab/>
      </w:r>
      <w:hyperlink r:id="rId6" w:history="1">
        <w:r w:rsidRPr="00CE7FB8">
          <w:rPr>
            <w:rStyle w:val="Hyperlink"/>
            <w:rFonts w:eastAsia="Arial"/>
            <w:bCs/>
          </w:rPr>
          <w:t>https://www.businessofgovernment.org/sites/default/files/Quantum%20Computing%20For%20Public%20Value.pdf</w:t>
        </w:r>
      </w:hyperlink>
      <w:r>
        <w:rPr>
          <w:rFonts w:eastAsia="Arial"/>
          <w:bCs/>
          <w:color w:val="000000"/>
        </w:rPr>
        <w:t xml:space="preserve"> </w:t>
      </w:r>
    </w:p>
    <w:p w14:paraId="4348C7F5" w14:textId="77777777" w:rsidR="00E70473" w:rsidRPr="004842AD" w:rsidRDefault="00E70473" w:rsidP="00E70473">
      <w:pPr>
        <w:pBdr>
          <w:top w:val="nil"/>
          <w:left w:val="nil"/>
          <w:bottom w:val="nil"/>
          <w:right w:val="nil"/>
          <w:between w:val="nil"/>
        </w:pBdr>
        <w:tabs>
          <w:tab w:val="left" w:pos="2790"/>
          <w:tab w:val="left" w:pos="5040"/>
          <w:tab w:val="left" w:pos="7290"/>
          <w:tab w:val="left" w:pos="8370"/>
          <w:tab w:val="right" w:pos="9630"/>
          <w:tab w:val="left" w:pos="360"/>
        </w:tabs>
        <w:ind w:left="720" w:hanging="720"/>
        <w:rPr>
          <w:rFonts w:eastAsia="Arial"/>
          <w:bCs/>
          <w:color w:val="000000"/>
        </w:rPr>
      </w:pPr>
      <w:r w:rsidRPr="004842AD">
        <w:rPr>
          <w:rFonts w:eastAsia="Arial"/>
          <w:bCs/>
          <w:color w:val="000000"/>
        </w:rPr>
        <w:t xml:space="preserve">Gregory, G., Ngo, L., &amp; Miller, R. (2020). Branding for non-profits: explaining new donor decision-making in the charity sector. </w:t>
      </w:r>
      <w:r w:rsidRPr="004842AD">
        <w:rPr>
          <w:rFonts w:eastAsia="Arial"/>
          <w:bCs/>
          <w:i/>
          <w:iCs/>
          <w:color w:val="000000"/>
        </w:rPr>
        <w:t>Journal of Product &amp; Brand Management, 29</w:t>
      </w:r>
      <w:r w:rsidRPr="004842AD">
        <w:rPr>
          <w:rFonts w:eastAsia="Arial"/>
          <w:bCs/>
          <w:color w:val="000000"/>
        </w:rPr>
        <w:t>(5), 583-600.</w:t>
      </w:r>
    </w:p>
    <w:p w14:paraId="5A2BD792" w14:textId="77777777" w:rsidR="00E70473" w:rsidRPr="004842AD" w:rsidRDefault="00E70473" w:rsidP="00E70473">
      <w:pPr>
        <w:pBdr>
          <w:top w:val="nil"/>
          <w:left w:val="nil"/>
          <w:bottom w:val="nil"/>
          <w:right w:val="nil"/>
          <w:between w:val="nil"/>
        </w:pBdr>
        <w:tabs>
          <w:tab w:val="left" w:pos="2790"/>
          <w:tab w:val="left" w:pos="5040"/>
          <w:tab w:val="left" w:pos="7290"/>
          <w:tab w:val="left" w:pos="8370"/>
          <w:tab w:val="right" w:pos="9630"/>
          <w:tab w:val="left" w:pos="360"/>
        </w:tabs>
        <w:ind w:left="720" w:hanging="720"/>
        <w:rPr>
          <w:rFonts w:eastAsia="Arial"/>
          <w:bCs/>
          <w:color w:val="000000"/>
        </w:rPr>
      </w:pPr>
      <w:r w:rsidRPr="004842AD">
        <w:rPr>
          <w:rFonts w:eastAsia="Arial"/>
          <w:bCs/>
          <w:color w:val="000000"/>
        </w:rPr>
        <w:t xml:space="preserve">Guetzko, S. (2019). Artificial Intelligence and Public Policy. In </w:t>
      </w:r>
      <w:r w:rsidRPr="004842AD">
        <w:rPr>
          <w:rFonts w:eastAsia="Arial"/>
          <w:bCs/>
          <w:i/>
          <w:iCs/>
          <w:color w:val="000000"/>
        </w:rPr>
        <w:t>Artificial Intelligence and Machine Learning for Business for Non-Engineers</w:t>
      </w:r>
      <w:r w:rsidRPr="004842AD">
        <w:rPr>
          <w:rFonts w:eastAsia="Arial"/>
          <w:bCs/>
          <w:color w:val="000000"/>
        </w:rPr>
        <w:t xml:space="preserve"> (pp. 117-123). CRC Press.</w:t>
      </w:r>
    </w:p>
    <w:p w14:paraId="5EF9E683" w14:textId="77777777" w:rsidR="00E70473" w:rsidRPr="004842AD" w:rsidRDefault="00E70473" w:rsidP="00E70473">
      <w:pPr>
        <w:pBdr>
          <w:top w:val="nil"/>
          <w:left w:val="nil"/>
          <w:bottom w:val="nil"/>
          <w:right w:val="nil"/>
          <w:between w:val="nil"/>
        </w:pBdr>
        <w:tabs>
          <w:tab w:val="left" w:pos="2790"/>
          <w:tab w:val="left" w:pos="5040"/>
          <w:tab w:val="left" w:pos="7290"/>
          <w:tab w:val="left" w:pos="8370"/>
          <w:tab w:val="right" w:pos="9630"/>
          <w:tab w:val="left" w:pos="360"/>
        </w:tabs>
        <w:ind w:left="720" w:hanging="720"/>
        <w:rPr>
          <w:rFonts w:eastAsia="Arial"/>
          <w:bCs/>
          <w:color w:val="000000"/>
        </w:rPr>
      </w:pPr>
      <w:r w:rsidRPr="004842AD">
        <w:rPr>
          <w:rFonts w:eastAsia="Arial"/>
          <w:bCs/>
          <w:color w:val="000000"/>
        </w:rPr>
        <w:t>Hackler, D., &amp; Saxton, G. D. (2007). The strategic use of information technology by nonprofit</w:t>
      </w:r>
    </w:p>
    <w:p w14:paraId="340D0DB3" w14:textId="77777777" w:rsidR="00E70473" w:rsidRPr="004842AD" w:rsidRDefault="00E70473" w:rsidP="00E70473">
      <w:pPr>
        <w:pBdr>
          <w:top w:val="nil"/>
          <w:left w:val="nil"/>
          <w:bottom w:val="nil"/>
          <w:right w:val="nil"/>
          <w:between w:val="nil"/>
        </w:pBdr>
        <w:tabs>
          <w:tab w:val="left" w:pos="2790"/>
          <w:tab w:val="left" w:pos="5040"/>
          <w:tab w:val="left" w:pos="7290"/>
          <w:tab w:val="left" w:pos="8370"/>
          <w:tab w:val="right" w:pos="9630"/>
          <w:tab w:val="left" w:pos="360"/>
        </w:tabs>
        <w:ind w:left="720" w:hanging="720"/>
        <w:rPr>
          <w:rFonts w:eastAsia="Arial"/>
          <w:bCs/>
          <w:color w:val="000000"/>
        </w:rPr>
      </w:pPr>
      <w:r>
        <w:rPr>
          <w:rFonts w:eastAsia="Arial"/>
          <w:bCs/>
          <w:color w:val="000000"/>
        </w:rPr>
        <w:tab/>
      </w:r>
      <w:r w:rsidRPr="004842AD">
        <w:rPr>
          <w:rFonts w:eastAsia="Arial"/>
          <w:bCs/>
          <w:color w:val="000000"/>
        </w:rPr>
        <w:t>organizations: Increasing capacity and untapped potential</w:t>
      </w:r>
      <w:r w:rsidRPr="004842AD">
        <w:rPr>
          <w:rFonts w:eastAsia="Arial"/>
          <w:bCs/>
          <w:i/>
          <w:iCs/>
          <w:color w:val="000000"/>
        </w:rPr>
        <w:t>. Public Administration Review, 67</w:t>
      </w:r>
      <w:r w:rsidRPr="004842AD">
        <w:rPr>
          <w:rFonts w:eastAsia="Arial"/>
          <w:bCs/>
          <w:color w:val="000000"/>
        </w:rPr>
        <w:t>(3),</w:t>
      </w:r>
      <w:r>
        <w:rPr>
          <w:rFonts w:eastAsia="Arial"/>
          <w:bCs/>
          <w:color w:val="000000"/>
        </w:rPr>
        <w:t xml:space="preserve"> </w:t>
      </w:r>
      <w:r w:rsidRPr="004842AD">
        <w:rPr>
          <w:rFonts w:eastAsia="Arial"/>
          <w:bCs/>
          <w:color w:val="000000"/>
        </w:rPr>
        <w:t>474-487.</w:t>
      </w:r>
    </w:p>
    <w:p w14:paraId="73D36B42" w14:textId="77777777" w:rsidR="00E70473" w:rsidRPr="004842AD" w:rsidRDefault="00E70473" w:rsidP="00E70473">
      <w:pPr>
        <w:pBdr>
          <w:top w:val="nil"/>
          <w:left w:val="nil"/>
          <w:bottom w:val="nil"/>
          <w:right w:val="nil"/>
          <w:between w:val="nil"/>
        </w:pBdr>
        <w:tabs>
          <w:tab w:val="left" w:pos="2790"/>
          <w:tab w:val="left" w:pos="5040"/>
          <w:tab w:val="left" w:pos="7290"/>
          <w:tab w:val="left" w:pos="8370"/>
          <w:tab w:val="right" w:pos="9630"/>
          <w:tab w:val="left" w:pos="360"/>
        </w:tabs>
        <w:ind w:left="720" w:hanging="720"/>
        <w:rPr>
          <w:rFonts w:eastAsia="Arial"/>
          <w:bCs/>
          <w:color w:val="000000"/>
        </w:rPr>
      </w:pPr>
      <w:r w:rsidRPr="004842AD">
        <w:rPr>
          <w:rFonts w:eastAsia="Arial"/>
          <w:bCs/>
          <w:color w:val="000000"/>
        </w:rPr>
        <w:t>Krug, K., &amp; Weinberg, C. B. (2004). Mission, money, and merit: Strategic decision making by nonprofit</w:t>
      </w:r>
      <w:r>
        <w:rPr>
          <w:rFonts w:eastAsia="Arial"/>
          <w:bCs/>
          <w:color w:val="000000"/>
        </w:rPr>
        <w:t xml:space="preserve"> </w:t>
      </w:r>
      <w:r w:rsidRPr="004842AD">
        <w:rPr>
          <w:rFonts w:eastAsia="Arial"/>
          <w:bCs/>
          <w:color w:val="000000"/>
        </w:rPr>
        <w:t xml:space="preserve">managers. </w:t>
      </w:r>
      <w:r w:rsidRPr="004842AD">
        <w:rPr>
          <w:rFonts w:eastAsia="Arial"/>
          <w:bCs/>
          <w:i/>
          <w:iCs/>
          <w:color w:val="000000"/>
        </w:rPr>
        <w:t>Nonprofit Management and Leadership, 14</w:t>
      </w:r>
      <w:r w:rsidRPr="004842AD">
        <w:rPr>
          <w:rFonts w:eastAsia="Arial"/>
          <w:bCs/>
          <w:color w:val="000000"/>
        </w:rPr>
        <w:t>(3), 325-342.</w:t>
      </w:r>
    </w:p>
    <w:p w14:paraId="10C6BE03" w14:textId="77777777" w:rsidR="00E70473" w:rsidRPr="004842AD" w:rsidRDefault="00E70473" w:rsidP="00E70473">
      <w:pPr>
        <w:pBdr>
          <w:top w:val="nil"/>
          <w:left w:val="nil"/>
          <w:bottom w:val="nil"/>
          <w:right w:val="nil"/>
          <w:between w:val="nil"/>
        </w:pBdr>
        <w:tabs>
          <w:tab w:val="left" w:pos="2790"/>
          <w:tab w:val="left" w:pos="5040"/>
          <w:tab w:val="left" w:pos="7290"/>
          <w:tab w:val="left" w:pos="8370"/>
          <w:tab w:val="right" w:pos="9630"/>
          <w:tab w:val="left" w:pos="360"/>
        </w:tabs>
        <w:ind w:left="720" w:hanging="720"/>
        <w:rPr>
          <w:rFonts w:eastAsia="Arial"/>
          <w:bCs/>
          <w:color w:val="000000"/>
        </w:rPr>
      </w:pPr>
      <w:r w:rsidRPr="004842AD">
        <w:rPr>
          <w:rFonts w:eastAsia="Arial"/>
          <w:bCs/>
          <w:color w:val="000000"/>
        </w:rPr>
        <w:t>Mallinson, D. J., Azevedo, L., Best, E., Robles, P., &amp; Wang, J. (2023). The Future of AI Is in the States:</w:t>
      </w:r>
      <w:r>
        <w:rPr>
          <w:rFonts w:eastAsia="Arial"/>
          <w:bCs/>
          <w:color w:val="000000"/>
        </w:rPr>
        <w:t xml:space="preserve"> </w:t>
      </w:r>
      <w:r w:rsidRPr="004842AD">
        <w:rPr>
          <w:rFonts w:eastAsia="Arial"/>
          <w:bCs/>
          <w:color w:val="000000"/>
        </w:rPr>
        <w:t xml:space="preserve">The Case of Autonomous Vehicle Policies. </w:t>
      </w:r>
      <w:r w:rsidRPr="004842AD">
        <w:rPr>
          <w:rFonts w:eastAsia="Arial"/>
          <w:bCs/>
          <w:i/>
          <w:iCs/>
          <w:color w:val="000000"/>
        </w:rPr>
        <w:t>Business and Politics</w:t>
      </w:r>
      <w:r w:rsidRPr="004842AD">
        <w:rPr>
          <w:rFonts w:eastAsia="Arial"/>
          <w:bCs/>
          <w:color w:val="000000"/>
        </w:rPr>
        <w:t>, 1-20.</w:t>
      </w:r>
    </w:p>
    <w:p w14:paraId="3374364F" w14:textId="77777777" w:rsidR="00E70473" w:rsidRPr="004842AD" w:rsidRDefault="00E70473" w:rsidP="00E70473">
      <w:pPr>
        <w:pBdr>
          <w:top w:val="nil"/>
          <w:left w:val="nil"/>
          <w:bottom w:val="nil"/>
          <w:right w:val="nil"/>
          <w:between w:val="nil"/>
        </w:pBdr>
        <w:tabs>
          <w:tab w:val="left" w:pos="2790"/>
          <w:tab w:val="left" w:pos="5040"/>
          <w:tab w:val="left" w:pos="7290"/>
          <w:tab w:val="left" w:pos="8370"/>
          <w:tab w:val="right" w:pos="9630"/>
          <w:tab w:val="left" w:pos="360"/>
        </w:tabs>
        <w:ind w:left="720" w:hanging="720"/>
        <w:rPr>
          <w:rFonts w:eastAsia="Arial"/>
          <w:bCs/>
          <w:color w:val="000000"/>
        </w:rPr>
      </w:pPr>
      <w:r w:rsidRPr="004842AD">
        <w:rPr>
          <w:rFonts w:eastAsia="Arial"/>
          <w:bCs/>
          <w:color w:val="000000"/>
        </w:rPr>
        <w:t>McDonald III, B. D., Hall, J. L., O'Flynn, J., &amp; van Thiel, S. (2022). The future of public administration</w:t>
      </w:r>
      <w:r>
        <w:rPr>
          <w:rFonts w:eastAsia="Arial"/>
          <w:bCs/>
          <w:color w:val="000000"/>
        </w:rPr>
        <w:t xml:space="preserve"> </w:t>
      </w:r>
      <w:r w:rsidRPr="004842AD">
        <w:rPr>
          <w:rFonts w:eastAsia="Arial"/>
          <w:bCs/>
          <w:color w:val="000000"/>
        </w:rPr>
        <w:t xml:space="preserve">research: An editor's perspective. </w:t>
      </w:r>
      <w:r w:rsidRPr="004842AD">
        <w:rPr>
          <w:rFonts w:eastAsia="Arial"/>
          <w:bCs/>
          <w:i/>
          <w:iCs/>
          <w:color w:val="000000"/>
        </w:rPr>
        <w:t>Public Administration</w:t>
      </w:r>
      <w:r w:rsidRPr="004842AD">
        <w:rPr>
          <w:rFonts w:eastAsia="Arial"/>
          <w:bCs/>
          <w:color w:val="000000"/>
        </w:rPr>
        <w:t>, 100(1), 59-71.</w:t>
      </w:r>
    </w:p>
    <w:p w14:paraId="0C54378A" w14:textId="77777777" w:rsidR="00E70473" w:rsidRDefault="00E70473" w:rsidP="00E70473">
      <w:pPr>
        <w:pBdr>
          <w:top w:val="nil"/>
          <w:left w:val="nil"/>
          <w:bottom w:val="nil"/>
          <w:right w:val="nil"/>
          <w:between w:val="nil"/>
        </w:pBdr>
        <w:tabs>
          <w:tab w:val="left" w:pos="2790"/>
          <w:tab w:val="left" w:pos="5040"/>
          <w:tab w:val="left" w:pos="7290"/>
          <w:tab w:val="left" w:pos="8370"/>
          <w:tab w:val="right" w:pos="9630"/>
          <w:tab w:val="left" w:pos="360"/>
        </w:tabs>
        <w:ind w:left="720" w:hanging="720"/>
        <w:rPr>
          <w:rFonts w:eastAsia="Arial"/>
          <w:bCs/>
          <w:color w:val="000000"/>
        </w:rPr>
      </w:pPr>
      <w:r w:rsidRPr="004842AD">
        <w:rPr>
          <w:rFonts w:eastAsia="Arial"/>
          <w:bCs/>
          <w:color w:val="000000"/>
        </w:rPr>
        <w:t xml:space="preserve">Rodrigues, R. (2020). Legal and human rights issues of AI: Gaps, challenges and vulnerabilities. </w:t>
      </w:r>
      <w:r w:rsidRPr="004842AD">
        <w:rPr>
          <w:rFonts w:eastAsia="Arial"/>
          <w:bCs/>
          <w:i/>
          <w:iCs/>
          <w:color w:val="000000"/>
        </w:rPr>
        <w:t>Journal of Responsible Technology, 4</w:t>
      </w:r>
      <w:r w:rsidRPr="004842AD">
        <w:rPr>
          <w:rFonts w:eastAsia="Arial"/>
          <w:bCs/>
          <w:color w:val="000000"/>
        </w:rPr>
        <w:t>, 100005</w:t>
      </w:r>
      <w:r>
        <w:rPr>
          <w:rFonts w:eastAsia="Arial"/>
          <w:bCs/>
          <w:color w:val="000000"/>
        </w:rPr>
        <w:t xml:space="preserve">. </w:t>
      </w:r>
    </w:p>
    <w:p w14:paraId="4EE41139" w14:textId="77777777" w:rsidR="00E70473" w:rsidRPr="0036131F" w:rsidRDefault="00E70473" w:rsidP="00E70473">
      <w:pPr>
        <w:pBdr>
          <w:top w:val="nil"/>
          <w:left w:val="nil"/>
          <w:bottom w:val="nil"/>
          <w:right w:val="nil"/>
          <w:between w:val="nil"/>
        </w:pBdr>
        <w:tabs>
          <w:tab w:val="left" w:pos="2790"/>
          <w:tab w:val="left" w:pos="5040"/>
          <w:tab w:val="left" w:pos="7290"/>
          <w:tab w:val="left" w:pos="8370"/>
          <w:tab w:val="right" w:pos="9630"/>
        </w:tabs>
        <w:spacing w:before="120"/>
        <w:rPr>
          <w:rFonts w:eastAsia="Arial"/>
          <w:color w:val="000000"/>
        </w:rPr>
      </w:pPr>
    </w:p>
    <w:sectPr w:rsidR="00E70473" w:rsidRPr="003613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Farisi">
    <w:panose1 w:val="00000400000000000000"/>
    <w:charset w:val="B2"/>
    <w:family w:val="auto"/>
    <w:pitch w:val="variable"/>
    <w:sig w:usb0="00002001" w:usb1="00000000" w:usb2="00000000"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164BD"/>
    <w:multiLevelType w:val="multilevel"/>
    <w:tmpl w:val="C8C24C4C"/>
    <w:lvl w:ilvl="0">
      <w:start w:val="5"/>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50833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31F"/>
    <w:rsid w:val="00186C66"/>
    <w:rsid w:val="0036131F"/>
    <w:rsid w:val="0056256A"/>
    <w:rsid w:val="00A40FB2"/>
    <w:rsid w:val="00DA4B99"/>
    <w:rsid w:val="00DA7B70"/>
    <w:rsid w:val="00E70473"/>
    <w:rsid w:val="00F157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6D01B7"/>
  <w15:chartTrackingRefBased/>
  <w15:docId w15:val="{1A628164-82B9-2C42-B909-2A5CBF7E7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31F"/>
    <w:pPr>
      <w:spacing w:after="0" w:line="240" w:lineRule="auto"/>
    </w:pPr>
    <w:rPr>
      <w:rFonts w:ascii="Times New Roman" w:eastAsia="Times New Roman" w:hAnsi="Times New Roman" w:cs="Times New Roman"/>
      <w:kern w:val="0"/>
      <w:lang w:eastAsia="zh-CN"/>
      <w14:ligatures w14:val="none"/>
    </w:rPr>
  </w:style>
  <w:style w:type="paragraph" w:styleId="Heading1">
    <w:name w:val="heading 1"/>
    <w:basedOn w:val="Normal"/>
    <w:next w:val="Normal"/>
    <w:link w:val="Heading1Char"/>
    <w:uiPriority w:val="9"/>
    <w:qFormat/>
    <w:rsid w:val="003613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13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13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13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13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131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31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31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31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3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13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13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13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13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13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3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3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31F"/>
    <w:rPr>
      <w:rFonts w:eastAsiaTheme="majorEastAsia" w:cstheme="majorBidi"/>
      <w:color w:val="272727" w:themeColor="text1" w:themeTint="D8"/>
    </w:rPr>
  </w:style>
  <w:style w:type="paragraph" w:styleId="Title">
    <w:name w:val="Title"/>
    <w:basedOn w:val="Normal"/>
    <w:next w:val="Normal"/>
    <w:link w:val="TitleChar"/>
    <w:uiPriority w:val="10"/>
    <w:qFormat/>
    <w:rsid w:val="003613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3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3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3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31F"/>
    <w:pPr>
      <w:spacing w:before="160"/>
      <w:jc w:val="center"/>
    </w:pPr>
    <w:rPr>
      <w:i/>
      <w:iCs/>
      <w:color w:val="404040" w:themeColor="text1" w:themeTint="BF"/>
    </w:rPr>
  </w:style>
  <w:style w:type="character" w:customStyle="1" w:styleId="QuoteChar">
    <w:name w:val="Quote Char"/>
    <w:basedOn w:val="DefaultParagraphFont"/>
    <w:link w:val="Quote"/>
    <w:uiPriority w:val="29"/>
    <w:rsid w:val="0036131F"/>
    <w:rPr>
      <w:i/>
      <w:iCs/>
      <w:color w:val="404040" w:themeColor="text1" w:themeTint="BF"/>
    </w:rPr>
  </w:style>
  <w:style w:type="paragraph" w:styleId="ListParagraph">
    <w:name w:val="List Paragraph"/>
    <w:basedOn w:val="Normal"/>
    <w:uiPriority w:val="34"/>
    <w:qFormat/>
    <w:rsid w:val="0036131F"/>
    <w:pPr>
      <w:ind w:left="720"/>
      <w:contextualSpacing/>
    </w:pPr>
  </w:style>
  <w:style w:type="character" w:styleId="IntenseEmphasis">
    <w:name w:val="Intense Emphasis"/>
    <w:basedOn w:val="DefaultParagraphFont"/>
    <w:uiPriority w:val="21"/>
    <w:qFormat/>
    <w:rsid w:val="0036131F"/>
    <w:rPr>
      <w:i/>
      <w:iCs/>
      <w:color w:val="0F4761" w:themeColor="accent1" w:themeShade="BF"/>
    </w:rPr>
  </w:style>
  <w:style w:type="paragraph" w:styleId="IntenseQuote">
    <w:name w:val="Intense Quote"/>
    <w:basedOn w:val="Normal"/>
    <w:next w:val="Normal"/>
    <w:link w:val="IntenseQuoteChar"/>
    <w:uiPriority w:val="30"/>
    <w:qFormat/>
    <w:rsid w:val="003613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131F"/>
    <w:rPr>
      <w:i/>
      <w:iCs/>
      <w:color w:val="0F4761" w:themeColor="accent1" w:themeShade="BF"/>
    </w:rPr>
  </w:style>
  <w:style w:type="character" w:styleId="IntenseReference">
    <w:name w:val="Intense Reference"/>
    <w:basedOn w:val="DefaultParagraphFont"/>
    <w:uiPriority w:val="32"/>
    <w:qFormat/>
    <w:rsid w:val="0036131F"/>
    <w:rPr>
      <w:b/>
      <w:bCs/>
      <w:smallCaps/>
      <w:color w:val="0F4761" w:themeColor="accent1" w:themeShade="BF"/>
      <w:spacing w:val="5"/>
    </w:rPr>
  </w:style>
  <w:style w:type="character" w:styleId="Hyperlink">
    <w:name w:val="Hyperlink"/>
    <w:basedOn w:val="DefaultParagraphFont"/>
    <w:rsid w:val="00E70473"/>
    <w:rPr>
      <w:color w:val="0000FF"/>
      <w:u w:val="single"/>
    </w:rPr>
  </w:style>
  <w:style w:type="character" w:styleId="UnresolvedMention">
    <w:name w:val="Unresolved Mention"/>
    <w:basedOn w:val="DefaultParagraphFont"/>
    <w:uiPriority w:val="99"/>
    <w:semiHidden/>
    <w:unhideWhenUsed/>
    <w:rsid w:val="00E704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usinessofgovernment.org/sites/default/files/Quantum%20Computing%20For%20Public%20Value.pdf" TargetMode="External"/><Relationship Id="rId5" Type="http://schemas.openxmlformats.org/officeDocument/2006/relationships/hyperlink" Target="https://doi.org/10.1002/nml.2164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1197</Words>
  <Characters>6829</Characters>
  <Application>Microsoft Office Word</Application>
  <DocSecurity>0</DocSecurity>
  <Lines>56</Lines>
  <Paragraphs>16</Paragraphs>
  <ScaleCrop>false</ScaleCrop>
  <Company/>
  <LinksUpToDate>false</LinksUpToDate>
  <CharactersWithSpaces>8010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Azevedo</dc:creator>
  <cp:keywords/>
  <dc:description/>
  <cp:lastModifiedBy>Lauren Azevedo</cp:lastModifiedBy>
  <cp:revision>3</cp:revision>
  <dcterms:created xsi:type="dcterms:W3CDTF">2025-12-02T17:09:00Z</dcterms:created>
  <dcterms:modified xsi:type="dcterms:W3CDTF">2026-04-09T00:13:00Z</dcterms:modified>
</cp:coreProperties>
</file>