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Descriptive Statistics</w:t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AI Use in Community Foundations Study</w:t>
      </w:r>
    </w:p>
    <w:p>
      <w:pPr>
        <w:jc w:val="center"/>
      </w:pPr>
      <w:r>
        <w:rPr>
          <w:rFonts w:ascii="Arial" w:hAnsi="Arial"/>
          <w:i/>
          <w:sz w:val="22"/>
        </w:rPr>
        <w:t>Azevedo &amp; Shi (2025)</w:t>
      </w:r>
    </w:p>
    <w:p/>
    <w:p>
      <w:r>
        <w:rPr>
          <w:rFonts w:ascii="Arial" w:hAnsi="Arial"/>
          <w:b/>
          <w:color w:val="1F4E79"/>
          <w:sz w:val="24"/>
        </w:rPr>
        <w:t>Table 1. Internal Culture and Governance (Q9)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Leadership Effectiveness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6.42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-3.03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11.44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Communication Quality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5.96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1.14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-1.73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4.89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Equity in Decision-Making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6.35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0.90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-2.35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9.19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Staff Empowerment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6.42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0.93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-2.44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8.85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Culture of Inclusion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1.12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-1.48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2.79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Conflict Management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6.03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1.02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-1.65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4.48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Governance Responsiveness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5.86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1.27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-1.18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1.31</w:t>
            </w:r>
          </w:p>
        </w:tc>
      </w:tr>
    </w:tbl>
    <w:p>
      <w:r>
        <w:rPr>
          <w:rFonts w:ascii="Arial" w:hAnsi="Arial"/>
          <w:i/>
          <w:sz w:val="18"/>
        </w:rPr>
        <w:t>Note. Items rated on a 7-point Likert scale (1 = Strongly Disagree, 7 = Strongly Agree). N = 125.</w:t>
      </w:r>
    </w:p>
    <w:p/>
    <w:p>
      <w:r>
        <w:rPr>
          <w:rFonts w:ascii="Arial" w:hAnsi="Arial"/>
          <w:b/>
          <w:color w:val="1F4E79"/>
          <w:sz w:val="24"/>
        </w:rPr>
        <w:t>Table 2. Equity and AI Values (Q19)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Quality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4.15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-0.21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Accessibility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1.34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Transparency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5.86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-1.09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0.32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Ethical Guidelines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2.19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1.72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1.53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1.47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Equitable Resource Distribution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1.78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1.26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0.98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Equity in Funding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5.35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1.57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-1.31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1.25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Literacy Training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2.20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1.78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0.80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External Resources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5.54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1.87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-1.24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Community Engagement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5.91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1.38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-1.23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0.61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Expert Collaboration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2.03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1.56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1.06</w:t>
            </w:r>
          </w:p>
        </w:tc>
      </w:tr>
    </w:tbl>
    <w:p>
      <w:r>
        <w:rPr>
          <w:rFonts w:ascii="Arial" w:hAnsi="Arial"/>
          <w:i/>
          <w:sz w:val="18"/>
        </w:rPr>
        <w:t>Note. Items rated on a 7-point Likert scale (1 = Strongly Disagree, 7 = Strongly Agree). N = 125 after mode substitution.</w:t>
      </w:r>
    </w:p>
    <w:p/>
    <w:p>
      <w:r>
        <w:rPr>
          <w:rFonts w:ascii="Arial" w:hAnsi="Arial"/>
          <w:b/>
          <w:color w:val="1F4E79"/>
          <w:sz w:val="24"/>
        </w:rPr>
        <w:t>Table 3. AI Awareness and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Awareness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3.74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0.93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-0.70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0.16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Confidence in AI Accuracy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2.23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0.89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0.43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-0.48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Future AI Integration Plans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0.25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-0.43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Personal AI Use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2.80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0.92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-0.09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-0.26</w:t>
            </w:r>
          </w:p>
        </w:tc>
      </w:tr>
    </w:tbl>
    <w:p>
      <w:r>
        <w:rPr>
          <w:rFonts w:ascii="Arial" w:hAnsi="Arial"/>
          <w:i/>
          <w:sz w:val="18"/>
        </w:rPr>
        <w:t>Note. Q11: AI awareness (1=Not at all, 2=Slightly, 3=Somewhat, 4=Moderately, 5=Extremely). Q18: Confidence in AI accuracy (1=Not at all, 2=Slightly, 3=Fairly, 4=Mosty confident). Q20: Future AI plans (1=No, 4=Yes to a great extent). Q32: Personal AI use (1=No use, 5=Advanced).</w:t>
      </w:r>
    </w:p>
    <w:p/>
    <w:p>
      <w:r>
        <w:rPr>
          <w:rFonts w:ascii="Arial" w:hAnsi="Arial"/>
          <w:b/>
          <w:color w:val="1F4E79"/>
          <w:sz w:val="24"/>
        </w:rPr>
        <w:t>Table 4. Equity Practices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Importance of Equity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3.42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0.74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-1.31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1.64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Community Involvement in Grants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3.18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0.82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-0.94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0.57</w:t>
            </w:r>
          </w:p>
        </w:tc>
      </w:tr>
    </w:tbl>
    <w:p>
      <w:r>
        <w:rPr>
          <w:rFonts w:ascii="Arial" w:hAnsi="Arial"/>
          <w:i/>
          <w:sz w:val="18"/>
        </w:rPr>
        <w:t>Note. Q23: Importance of equity (1=Not at all important, 4=Extremely important). Q25: Community involvement in grant-making (1=Not at all, 4=To a great extent).</w:t>
      </w:r>
    </w:p>
    <w:p/>
    <w:p>
      <w:r>
        <w:rPr>
          <w:rFonts w:ascii="Arial" w:hAnsi="Arial"/>
          <w:b/>
          <w:color w:val="1F4E79"/>
          <w:sz w:val="24"/>
        </w:rPr>
        <w:t>Table 5. Foundation Characteristics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Skewness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Kurtosis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Foundation Assets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3.38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3.00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1.10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-0.69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Staff Size</w:t>
            </w:r>
          </w:p>
        </w:tc>
        <w:tc>
          <w:tcPr>
            <w:tcW w:type="dxa" w:w="576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125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1.22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864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0.43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1.68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1.61</w:t>
            </w:r>
          </w:p>
        </w:tc>
      </w:tr>
    </w:tbl>
    <w:p>
      <w:r>
        <w:rPr>
          <w:rFonts w:ascii="Arial" w:hAnsi="Arial"/>
          <w:i/>
          <w:sz w:val="18"/>
        </w:rPr>
        <w:t>Note. Q4: Asset value coded 1–5 (&lt;$1M to &gt;$100M). Q5: Staff size coded 1–3 (Small/Medium/Large).</w:t>
      </w:r>
    </w:p>
    <w:p/>
    <w:p>
      <w:r>
        <w:rPr>
          <w:rFonts w:ascii="Arial" w:hAnsi="Arial"/>
          <w:b/>
          <w:color w:val="1F4E79"/>
          <w:sz w:val="24"/>
        </w:rPr>
        <w:t>Table 6. Exploratory Factor Analysis of AI Scale Variables (Q19)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160"/>
        <w:gridCol w:w="2160"/>
        <w:gridCol w:w="1440"/>
      </w:tblGrid>
      <w:tr>
        <w:tc>
          <w:tcPr>
            <w:shd w:val="clear" w:color="auto" w:fill="D5E8F0"/>
          </w:tcPr>
          <w:p>
            <w:pPr/>
            <w:r>
              <w:rPr>
                <w:rFonts w:ascii="Arial" w:hAnsi="Arial"/>
                <w:sz w:val="20"/>
                <w:b/>
              </w:rPr>
              <w:t>Variable</w:t>
            </w:r>
          </w:p>
        </w:tc>
        <w:tc>
          <w:tcPr>
            <w:shd w:val="clear" w:color="auto" w:fill="D5E8F0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Factor 1: AI Implementation</w:t>
            </w:r>
          </w:p>
        </w:tc>
        <w:tc>
          <w:tcPr>
            <w:shd w:val="clear" w:color="auto" w:fill="D5E8F0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Factor 2: Equity &amp; Community</w:t>
            </w:r>
          </w:p>
        </w:tc>
        <w:tc>
          <w:tcPr>
            <w:shd w:val="clear" w:color="auto" w:fill="D5E8F0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h²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Data Quality (Q19_1)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0.603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-0.006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0.364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AI Accessibility (Q19_2)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0.645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0.148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0.438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Transparency (Q19_3)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-0.028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0.495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0.246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Ethical Guidelines (Q19_4)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0.633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0.055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0.404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Equitable Resource Dist. (Q19_5)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0.612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-0.117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0.388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Equity in Funding (Q19_6)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0.158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0.742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0.576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AI Literacy Training (Q19_7)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0.721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0.160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0.546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External Resources (Q19_8)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0.015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0.892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0.796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Community Engagement (Q19_9)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-0.009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0.599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0.359</w:t>
            </w:r>
          </w:p>
        </w:tc>
      </w:tr>
      <w:tr>
        <w:tc>
          <w:tcPr/>
          <w:p>
            <w:pPr/>
            <w:r>
              <w:rPr>
                <w:rFonts w:ascii="Arial" w:hAnsi="Arial"/>
                <w:sz w:val="20"/>
              </w:rPr>
              <w:t>AI Expert Collaboration (Q19_10)</w:t>
            </w:r>
          </w:p>
        </w:tc>
        <w:tc>
          <w:tcPr>
            <w:shd w:val="clear" w:color="auto" w:fill="FFFF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0.701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-0.044</w:t>
            </w:r>
          </w:p>
        </w:tc>
        <w:tc>
          <w:tcPr/>
          <w:p>
            <w:pPr>
              <w:jc w:val="center"/>
            </w:pPr>
            <w:r>
              <w:rPr>
                <w:rFonts w:ascii="Arial" w:hAnsi="Arial"/>
                <w:sz w:val="20"/>
              </w:rPr>
              <w:t>0.493</w:t>
            </w:r>
          </w:p>
        </w:tc>
      </w:tr>
      <w:tr>
        <w:tc>
          <w:tcPr>
            <w:shd w:val="clear" w:color="auto" w:fill="E8E8E8"/>
          </w:tcPr>
          <w:p>
            <w:pPr/>
            <w:r>
              <w:rPr>
                <w:rFonts w:ascii="Arial" w:hAnsi="Arial"/>
                <w:sz w:val="20"/>
                <w:b/>
              </w:rPr>
              <w:t>SS Loadings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2.593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2.016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shd w:val="clear" w:color="auto" w:fill="E8E8E8"/>
          </w:tcPr>
          <w:p>
            <w:pPr/>
            <w:r>
              <w:rPr>
                <w:rFonts w:ascii="Arial" w:hAnsi="Arial"/>
                <w:sz w:val="20"/>
                <w:b/>
              </w:rPr>
              <w:t>% Variance Explained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25.9%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20.2%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shd w:val="clear" w:color="auto" w:fill="E8E8E8"/>
          </w:tcPr>
          <w:p>
            <w:pPr/>
            <w:r>
              <w:rPr>
                <w:rFonts w:ascii="Arial" w:hAnsi="Arial"/>
                <w:sz w:val="20"/>
                <w:b/>
              </w:rPr>
              <w:t>Cumulative Variance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25.9%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46.1%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shd w:val="clear" w:color="auto" w:fill="E8E8E8"/>
          </w:tcPr>
          <w:p>
            <w:pPr/>
            <w:r>
              <w:rPr>
                <w:rFonts w:ascii="Arial" w:hAnsi="Arial"/>
                <w:sz w:val="20"/>
                <w:b/>
              </w:rPr>
              <w:t>Cronbach’s α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0.731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  <w:b/>
              </w:rPr>
              <w:t>0.651</w:t>
            </w:r>
          </w:p>
        </w:tc>
        <w:tc>
          <w:tcPr>
            <w:shd w:val="clear" w:color="auto" w:fill="E8E8E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/>
            </w:r>
          </w:p>
        </w:tc>
      </w:tr>
    </w:tbl>
    <w:p>
      <w:r>
        <w:rPr>
          <w:rFonts w:ascii="Arial" w:hAnsi="Arial"/>
          <w:i/>
          <w:sz w:val="18"/>
        </w:rPr>
        <w:t>Note. N = 125. Principal axis factoring with Varimax rotation. Factor retention based on parallel analysis (95th percentile criterion, 1,000 Monte Carlo iterations). Yellow-highlighted loadings ≥ |0.40|. KMO = 0.628; Bartlett’s χ² = 270.87, p &lt; .001.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