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left"/>
        <w:tblLook w:firstColumn="1" w:firstRow="1" w:lastColumn="0" w:lastRow="0" w:noHBand="0" w:noVBand="1" w:val="04A0"/>
        <w:tblBorders>
          <w:top w:val="nil" w:sz="0" w:space="0"/>
          <w:bottom w:val="nil" w:sz="0" w:space="0"/>
          <w:left w:val="nil" w:sz="0" w:space="0"/>
          <w:right w:val="nil" w:sz="0" w:space="0"/>
          <w:insideH w:val="nil" w:sz="0" w:space="0"/>
          <w:insideV w:val="nil" w:sz="0" w:space="0"/>
        </w:tblBorders>
        <w:tblLayout w:type="fixed"/>
        <w:tblW w:w="67680" w:type="dxa"/>
      </w:tblPr>
      <w:tblGrid>
        <w:gridCol w:w="22560"/>
        <w:gridCol w:w="22560"/>
        <w:gridCol w:w="22560"/>
      </w:tblGrid>
      <w:tr>
        <w:tc>
          <w:tcPr>
            <w:tcW w:type="dxa" w:w="67680"/>
            <w:gridSpan w:val="3"/>
            <w:tcMar>
              <w:top w:w="108" w:type="dxa"/>
              <w:bottom w:w="108" w:type="dxa"/>
              <w:left w:w="100" w:type="dxa"/>
              <w:right w:w="100" w:type="dxa"/>
            </w:tcMar>
          </w:tcPr>
          <w:p>
            <w:pPr>
              <w:spacing w:after="160"/>
              <w:jc w:val="center"/>
            </w:pPr>
            <w:r>
              <w:rPr>
                <w:rFonts w:ascii="Calibri" w:hAnsi="Calibri"/>
                <w:b/>
                <w:sz w:val="144"/>
              </w:rPr>
              <w:t>Minutes Matter: An Agentic, Equity-Aware Wildfire Evacuation Platform for Faster Protective Action</w:t>
            </w:r>
          </w:p>
          <w:p>
            <w:pPr>
              <w:spacing w:after="80"/>
              <w:jc w:val="center"/>
            </w:pPr>
            <w:r>
              <w:rPr>
                <w:rFonts w:ascii="Calibri" w:hAnsi="Calibri"/>
                <w:b w:val="0"/>
                <w:sz w:val="96"/>
              </w:rPr>
              <w:t>Lena Ayesh, Katie Leedom, Anisha Nannapaneni, Nadia Narayanan</w:t>
            </w:r>
          </w:p>
          <w:p>
            <w:pPr>
              <w:spacing w:after="80"/>
              <w:jc w:val="center"/>
            </w:pPr>
            <w:r>
              <w:rPr>
                <w:rFonts w:ascii="Calibri" w:hAnsi="Calibri"/>
                <w:b w:val="0"/>
                <w:sz w:val="44"/>
              </w:rPr>
              <w:t>University of North Carolina at Charlotte · WiDS Apprenticeship Pod · Accenture Song (industry partner)</w:t>
            </w:r>
          </w:p>
          <w:p>
            <w:pPr>
              <w:spacing w:after="80"/>
              <w:jc w:val="center"/>
            </w:pPr>
            <w:r>
              <w:rPr>
                <w:rFonts w:ascii="Calibri" w:hAnsi="Calibri"/>
                <w:b w:val="0"/>
                <w:color w:val="666666"/>
                <w:sz w:val="36"/>
              </w:rPr>
              <w:t>[ Logos: WiDS · UNC Charlotte · Accenture Song — per program instructions ]</w:t>
            </w:r>
          </w:p>
          <w:p>
            <w:pPr>
              <w:spacing w:after="40"/>
              <w:jc w:val="center"/>
            </w:pPr>
            <w:r>
              <w:rPr>
                <w:rFonts w:ascii="Calibri" w:hAnsi="Calibri"/>
                <w:b/>
                <w:color w:val="5B21B6"/>
                <w:sz w:val="40"/>
              </w:rPr>
              <w:t>WiDS Datathon 2026 · Track 1 — Accelerating Equitable Evacuations</w:t>
            </w:r>
          </w:p>
          <w:p>
            <w:pPr>
              <w:spacing w:after="240"/>
              <w:jc w:val="center"/>
            </w:pPr>
            <w:r>
              <w:rPr>
                <w:rFonts w:ascii="Calibri" w:hAnsi="Calibri"/>
                <w:b w:val="0"/>
                <w:sz w:val="36"/>
              </w:rPr>
              <w:t>Minutes Matter (WildfireAlert) · https://github.com/layesh1/wildfire-app · iOS: https://github.com/anishan3213-design/minutes-matter-ios</w:t>
            </w:r>
          </w:p>
        </w:tc>
      </w:tr>
      <w:tr>
        <w:tc>
          <w:tcPr>
            <w:tcW w:type="dxa" w:w="22560"/>
            <w:tcMar>
              <w:top w:w="108" w:type="dxa"/>
              <w:bottom w:w="108" w:type="dxa"/>
              <w:left w:w="100" w:type="dxa"/>
              <w:right w:w="100" w:type="dxa"/>
            </w:tcMar>
          </w:tcPr>
          <w:p/>
          <w:p>
            <w:pPr>
              <w:spacing w:after="120" w:before="200"/>
              <w:jc w:val="left"/>
            </w:pPr>
            <w:r>
              <w:rPr>
                <w:rFonts w:ascii="Calibri" w:hAnsi="Calibri"/>
                <w:b/>
                <w:color w:val="5B21B6"/>
                <w:sz w:val="72"/>
              </w:rPr>
              <w:t>Abstract</w:t>
            </w:r>
          </w:p>
          <w:p>
            <w:pPr>
              <w:spacing w:after="160" w:line="259" w:lineRule="auto"/>
              <w:jc w:val="left"/>
            </w:pPr>
            <w:r>
              <w:rPr>
                <w:rFonts w:ascii="Calibri" w:hAnsi="Calibri"/>
                <w:b w:val="0"/>
                <w:sz w:val="52"/>
              </w:rPr>
              <w:t>Wildfire evacuations fail when alerts arrive late, messages lack actionable context, and vulnerable households are underrepresented in opt-in systems. WiDS Datathon 2026 Track 1 — Accelerating Equitable Evacuations asks how to shorten the path from first credible signal to protective action while improving clarity and completion among at-risk communities. We present Minutes Matter, an operational web and mobile ecosystem that unifies WatchDuty-scale incident analytics with live operational data. The platform combines a Next.js application on Vercel, a Supabase backend with row-level security, and Flameo, a three-phase agentic AI stack (structured context without an LLM, proactive briefing, grounded chat with guardrails) powered by Anthropic Claude. Live feeds include NIFC and NASA FIRMS, FEMA National Shelter System shelters, Open-Meteo weather, FEMA National Risk Index–style equity layers, and curated hazard facilities (nuclear, chemical, LNG) for routing awareness; Google geocoding and routes support shelter ranking with fire- and hazard-avoidance flags. We implement a two-status evacuation model (home vs personal safety) for clearer household rollups for responders, Life360-style family linking, station-based responder workflows with Flameo COMMAND, and a native SwiftUI iOS client. A Kaggle companion notebook explores WatchDuty-style data, feature engineering, proximity to hazards, shelter coverage, and equity metrics. We address datathon pitfalls—inconsistent reporting, geographic bias, and weak ground truth—by stating assumptions explicitly and grounding user-facing outputs in reproducible pipelines. Significance: a tangible path from research on alert delay and silent incidents to a consent-aware, multi-role system agencies could pilot for earlier, clearer, and more equitable evacuation support.</w:t>
            </w:r>
          </w:p>
          <w:p>
            <w:pPr>
              <w:spacing w:after="120" w:before="200"/>
              <w:jc w:val="left"/>
            </w:pPr>
            <w:r>
              <w:rPr>
                <w:rFonts w:ascii="Calibri" w:hAnsi="Calibri"/>
                <w:b/>
                <w:color w:val="5B21B6"/>
                <w:sz w:val="72"/>
              </w:rPr>
              <w:t>Introduction</w:t>
            </w:r>
          </w:p>
          <w:p>
            <w:pPr>
              <w:spacing w:after="160" w:line="259" w:lineRule="auto"/>
              <w:jc w:val="left"/>
            </w:pPr>
            <w:r>
              <w:rPr>
                <w:rFonts w:ascii="Calibri" w:hAnsi="Calibri"/>
                <w:b w:val="0"/>
                <w:sz w:val="52"/>
              </w:rPr>
              <w:t>Wildfires are increasing in frequency and intensity; public demand for trusted, hyperlocal intelligence spikes during major events. In a 2021–2025 WatchDuty-style WiDS analytic frame (62,696 U.S. fire incidents), 73.5% had no public alert (46,053 “silent” events); among silent fires, only one received an evacuation order, and median time to order when orders exist was 1.1 hours (90th percentile 32.1 hours). WatchDuty and related data also show geographic and volunteer-coverage bias, so naive risk maps can mis-rank counties. Track 1 challenges teams to reduce alert lag, improve message clarity, and raise evacuation completion for vulnerable groups. We address this gap with Minutes Matter: a deployable prototype that fuses these statistics with production-style APIs, maps, and AI grounded in live context. Our design emphasizes equitable evacuation: surfacing signal gaps, clarifying next actions, and pairing household status with responder visibility under explicit consent. Figure 1 anchors national scale (incident burden, silent fraction, delay order-of-magnitude). Figure 2 summarizes user roles (evacuee, caregiver, responder) and the signal → context → action loop the product enforces.</w:t>
            </w:r>
          </w:p>
          <w:p>
            <w:pPr>
              <w:spacing w:after="120"/>
            </w:pPr>
            <w:r>
              <w:rPr>
                <w:rFonts w:ascii="Calibri" w:hAnsi="Calibri"/>
                <w:b/>
                <w:color w:val="666666"/>
                <w:sz w:val="38"/>
              </w:rPr>
              <w:t>[ Figure 1 — INSERT ≥300 DPI — National burden / silent fraction / delay (~10 in wide) ]</w:t>
            </w:r>
          </w:p>
          <w:p>
            <w:pPr>
              <w:spacing w:after="240" w:before="80"/>
            </w:pPr>
            <w:r>
              <w:rPr>
                <w:rFonts w:ascii="Calibri" w:hAnsi="Calibri"/>
                <w:b w:val="0"/>
                <w:sz w:val="44"/>
              </w:rPr>
              <w:t>Figure 1. National wildfire burden and alerting gap (2021–2025 analytic frame): 62,696 incidents; 73.5% silent (46,053); median / 90th-percentile hours to order (1.1 h; 32.1 h); peak month and hour where shown.</w:t>
            </w:r>
          </w:p>
          <w:p>
            <w:pPr>
              <w:spacing w:after="120"/>
            </w:pPr>
            <w:r>
              <w:rPr>
                <w:rFonts w:ascii="Calibri" w:hAnsi="Calibri"/>
                <w:b/>
                <w:color w:val="666666"/>
                <w:sz w:val="38"/>
              </w:rPr>
              <w:t>[ Figure 2 — INSERT ≥300 DPI — User journey &amp; roles (~8–10 in wide) ]</w:t>
            </w:r>
          </w:p>
          <w:p>
            <w:pPr>
              <w:spacing w:after="240" w:before="80"/>
            </w:pPr>
            <w:r>
              <w:rPr>
                <w:rFonts w:ascii="Calibri" w:hAnsi="Calibri"/>
                <w:b w:val="0"/>
                <w:sz w:val="44"/>
              </w:rPr>
              <w:t>Figure 2. User journey and roles: consumers, caregivers, responders, analysts; signal → context → action; Flameo COMMAND for responders.</w:t>
            </w:r>
          </w:p>
        </w:tc>
        <w:tc>
          <w:tcPr>
            <w:tcW w:type="dxa" w:w="22560"/>
            <w:tcMar>
              <w:top w:w="108" w:type="dxa"/>
              <w:bottom w:w="108" w:type="dxa"/>
              <w:left w:w="100" w:type="dxa"/>
              <w:right w:w="100" w:type="dxa"/>
            </w:tcMar>
          </w:tcPr>
          <w:p/>
          <w:p>
            <w:pPr>
              <w:spacing w:after="120" w:before="200"/>
              <w:jc w:val="left"/>
            </w:pPr>
            <w:r>
              <w:rPr>
                <w:rFonts w:ascii="Calibri" w:hAnsi="Calibri"/>
                <w:b/>
                <w:color w:val="5B21B6"/>
                <w:sz w:val="72"/>
              </w:rPr>
              <w:t>Data and Methods</w:t>
            </w:r>
          </w:p>
          <w:p>
            <w:pPr>
              <w:spacing w:after="160" w:line="259" w:lineRule="auto"/>
              <w:jc w:val="left"/>
            </w:pPr>
            <w:r>
              <w:rPr>
                <w:rFonts w:ascii="Calibri" w:hAnsi="Calibri"/>
                <w:b w:val="0"/>
                <w:sz w:val="52"/>
              </w:rPr>
              <w:t>Data: WatchDuty / WiDS competition tabular data (primary for notebook exploration); live NIFC EGP and NASA FIRMS VIIRS via app proxies; FEMA NSS open shelters; Open-Meteo for fire-weather heuristics; FEMA NRI county endpoints for wildfire risk and social vulnerability themes; static hazard facilities (30 sites: nuclear, chemical, LNG); optional Google Places, Geocoding, and Routes. Methods: Python (pandas, scikit-learn, plotly) in notebooks/kaggle_wids_2026_minutes_matter.ipynb with optional minutes_matter_kaggle.py for /kaggle/input discovery; haversine proximity, feature engineering (fire weather, population exposure), and RandomForest baselines where labels exist. Application layer: TypeScript API routes; FlameoContext via GET /api/flameo/context; briefing and chat endpoints; rate limits and CSP. Figure 3 shows the data and AI pipeline. Figure 4 shows Flameo phases (A: structured JSON context; B: briefing; C: grounded chat + COMMAND).</w:t>
            </w:r>
          </w:p>
          <w:p>
            <w:pPr>
              <w:spacing w:after="120" w:before="200"/>
              <w:jc w:val="left"/>
            </w:pPr>
            <w:r>
              <w:rPr>
                <w:rFonts w:ascii="Calibri" w:hAnsi="Calibri"/>
                <w:b/>
                <w:color w:val="5B21B6"/>
                <w:sz w:val="72"/>
              </w:rPr>
              <w:t>Table 1. Data sources integrated in Minutes Matter</w:t>
            </w:r>
          </w:p>
          <w:tbl>
            <w:tblPr>
              <w:tblW w:type="auto" w:w="0"/>
              <w:tblLook w:firstColumn="1" w:firstRow="1" w:lastColumn="0" w:lastRow="0" w:noHBand="0" w:noVBand="1" w:val="04A0"/>
              <w:tblBorders>
                <w:top w:val="single" w:sz="4" w:space="0" w:color="666666"/>
                <w:bottom w:val="single" w:sz="4" w:space="0" w:color="666666"/>
                <w:left w:val="single" w:sz="4" w:space="0" w:color="666666"/>
                <w:right w:val="single" w:sz="4" w:space="0" w:color="666666"/>
                <w:insideH w:val="single" w:sz="4" w:space="0" w:color="666666"/>
                <w:insideV w:val="single" w:sz="4" w:space="0" w:color="666666"/>
              </w:tblBorders>
            </w:tblPr>
            <w:tblGrid>
              <w:gridCol w:w="7520"/>
              <w:gridCol w:w="7520"/>
              <w:gridCol w:w="7520"/>
            </w:tblGrid>
            <w:tr>
              <w:tc>
                <w:tcPr>
                  <w:tcW w:type="dxa" w:w="7520"/>
                </w:tcPr>
                <w:p>
                  <w:r/>
                  <w:r>
                    <w:rPr>
                      <w:rFonts w:ascii="Calibri" w:hAnsi="Calibri"/>
                      <w:b/>
                      <w:sz w:val="38"/>
                    </w:rPr>
                    <w:t>#</w:t>
                  </w:r>
                </w:p>
              </w:tc>
              <w:tc>
                <w:tcPr>
                  <w:tcW w:type="dxa" w:w="7520"/>
                </w:tcPr>
                <w:p>
                  <w:r/>
                  <w:r>
                    <w:rPr>
                      <w:rFonts w:ascii="Calibri" w:hAnsi="Calibri"/>
                      <w:b/>
                      <w:sz w:val="38"/>
                    </w:rPr>
                    <w:t>Source</w:t>
                  </w:r>
                </w:p>
              </w:tc>
              <w:tc>
                <w:tcPr>
                  <w:tcW w:type="dxa" w:w="7520"/>
                </w:tcPr>
                <w:p>
                  <w:r/>
                  <w:r>
                    <w:rPr>
                      <w:rFonts w:ascii="Calibri" w:hAnsi="Calibri"/>
                      <w:b/>
                      <w:sz w:val="38"/>
                    </w:rPr>
                    <w:t>Role</w:t>
                  </w:r>
                </w:p>
              </w:tc>
            </w:tr>
            <w:tr>
              <w:tc>
                <w:tcPr>
                  <w:tcW w:type="dxa" w:w="7520"/>
                </w:tcPr>
                <w:p>
                  <w:r/>
                  <w:r>
                    <w:rPr>
                      <w:rFonts w:ascii="Calibri" w:hAnsi="Calibri"/>
                      <w:b w:val="0"/>
                      <w:sz w:val="38"/>
                    </w:rPr>
                    <w:t>1</w:t>
                  </w:r>
                </w:p>
              </w:tc>
              <w:tc>
                <w:tcPr>
                  <w:tcW w:type="dxa" w:w="7520"/>
                </w:tcPr>
                <w:p>
                  <w:r/>
                  <w:r>
                    <w:rPr>
                      <w:rFonts w:ascii="Calibri" w:hAnsi="Calibri"/>
                      <w:b w:val="0"/>
                      <w:sz w:val="38"/>
                    </w:rPr>
                    <w:t>WatchDuty / WiDS</w:t>
                  </w:r>
                </w:p>
              </w:tc>
              <w:tc>
                <w:tcPr>
                  <w:tcW w:type="dxa" w:w="7520"/>
                </w:tcPr>
                <w:p>
                  <w:r/>
                  <w:r>
                    <w:rPr>
                      <w:rFonts w:ascii="Calibri" w:hAnsi="Calibri"/>
                      <w:b w:val="0"/>
                      <w:sz w:val="38"/>
                    </w:rPr>
                    <w:t>Primary tabular incidents and labels (notebook)</w:t>
                  </w:r>
                </w:p>
              </w:tc>
            </w:tr>
            <w:tr>
              <w:tc>
                <w:tcPr>
                  <w:tcW w:type="dxa" w:w="7520"/>
                </w:tcPr>
                <w:p>
                  <w:r/>
                  <w:r>
                    <w:rPr>
                      <w:rFonts w:ascii="Calibri" w:hAnsi="Calibri"/>
                      <w:b w:val="0"/>
                      <w:sz w:val="38"/>
                    </w:rPr>
                    <w:t>2</w:t>
                  </w:r>
                </w:p>
              </w:tc>
              <w:tc>
                <w:tcPr>
                  <w:tcW w:type="dxa" w:w="7520"/>
                </w:tcPr>
                <w:p>
                  <w:r/>
                  <w:r>
                    <w:rPr>
                      <w:rFonts w:ascii="Calibri" w:hAnsi="Calibri"/>
                      <w:b w:val="0"/>
                      <w:sz w:val="38"/>
                    </w:rPr>
                    <w:t>NASA FIRMS (VIIRS)</w:t>
                  </w:r>
                </w:p>
              </w:tc>
              <w:tc>
                <w:tcPr>
                  <w:tcW w:type="dxa" w:w="7520"/>
                </w:tcPr>
                <w:p>
                  <w:r/>
                  <w:r>
                    <w:rPr>
                      <w:rFonts w:ascii="Calibri" w:hAnsi="Calibri"/>
                      <w:b w:val="0"/>
                      <w:sz w:val="38"/>
                    </w:rPr>
                    <w:t>Live hotspots (/api/fires/firms)</w:t>
                  </w:r>
                </w:p>
              </w:tc>
            </w:tr>
            <w:tr>
              <w:tc>
                <w:tcPr>
                  <w:tcW w:type="dxa" w:w="7520"/>
                </w:tcPr>
                <w:p>
                  <w:r/>
                  <w:r>
                    <w:rPr>
                      <w:rFonts w:ascii="Calibri" w:hAnsi="Calibri"/>
                      <w:b w:val="0"/>
                      <w:sz w:val="38"/>
                    </w:rPr>
                    <w:t>3</w:t>
                  </w:r>
                </w:p>
              </w:tc>
              <w:tc>
                <w:tcPr>
                  <w:tcW w:type="dxa" w:w="7520"/>
                </w:tcPr>
                <w:p>
                  <w:r/>
                  <w:r>
                    <w:rPr>
                      <w:rFonts w:ascii="Calibri" w:hAnsi="Calibri"/>
                      <w:b w:val="0"/>
                      <w:sz w:val="38"/>
                    </w:rPr>
                    <w:t>NIFC (EGP / WFIGS)</w:t>
                  </w:r>
                </w:p>
              </w:tc>
              <w:tc>
                <w:tcPr>
                  <w:tcW w:type="dxa" w:w="7520"/>
                </w:tcPr>
                <w:p>
                  <w:r/>
                  <w:r>
                    <w:rPr>
                      <w:rFonts w:ascii="Calibri" w:hAnsi="Calibri"/>
                      <w:b w:val="0"/>
                      <w:sz w:val="38"/>
                    </w:rPr>
                    <w:t>Active incidents (/api/active-fires, /api/fires/nifc)</w:t>
                  </w:r>
                </w:p>
              </w:tc>
            </w:tr>
            <w:tr>
              <w:tc>
                <w:tcPr>
                  <w:tcW w:type="dxa" w:w="7520"/>
                </w:tcPr>
                <w:p>
                  <w:r/>
                  <w:r>
                    <w:rPr>
                      <w:rFonts w:ascii="Calibri" w:hAnsi="Calibri"/>
                      <w:b w:val="0"/>
                      <w:sz w:val="38"/>
                    </w:rPr>
                    <w:t>4</w:t>
                  </w:r>
                </w:p>
              </w:tc>
              <w:tc>
                <w:tcPr>
                  <w:tcW w:type="dxa" w:w="7520"/>
                </w:tcPr>
                <w:p>
                  <w:r/>
                  <w:r>
                    <w:rPr>
                      <w:rFonts w:ascii="Calibri" w:hAnsi="Calibri"/>
                      <w:b w:val="0"/>
                      <w:sz w:val="38"/>
                    </w:rPr>
                    <w:t>FEMA NSS</w:t>
                  </w:r>
                </w:p>
              </w:tc>
              <w:tc>
                <w:tcPr>
                  <w:tcW w:type="dxa" w:w="7520"/>
                </w:tcPr>
                <w:p>
                  <w:r/>
                  <w:r>
                    <w:rPr>
                      <w:rFonts w:ascii="Calibri" w:hAnsi="Calibri"/>
                      <w:b w:val="0"/>
                      <w:sz w:val="38"/>
                    </w:rPr>
                    <w:t>Open shelters (/api/shelters/live)</w:t>
                  </w:r>
                </w:p>
              </w:tc>
            </w:tr>
            <w:tr>
              <w:tc>
                <w:tcPr>
                  <w:tcW w:type="dxa" w:w="7520"/>
                </w:tcPr>
                <w:p>
                  <w:r/>
                  <w:r>
                    <w:rPr>
                      <w:rFonts w:ascii="Calibri" w:hAnsi="Calibri"/>
                      <w:b w:val="0"/>
                      <w:sz w:val="38"/>
                    </w:rPr>
                    <w:t>5</w:t>
                  </w:r>
                </w:p>
              </w:tc>
              <w:tc>
                <w:tcPr>
                  <w:tcW w:type="dxa" w:w="7520"/>
                </w:tcPr>
                <w:p>
                  <w:r/>
                  <w:r>
                    <w:rPr>
                      <w:rFonts w:ascii="Calibri" w:hAnsi="Calibri"/>
                      <w:b w:val="0"/>
                      <w:sz w:val="38"/>
                    </w:rPr>
                    <w:t>FEMA NRI</w:t>
                  </w:r>
                </w:p>
              </w:tc>
              <w:tc>
                <w:tcPr>
                  <w:tcW w:type="dxa" w:w="7520"/>
                </w:tcPr>
                <w:p>
                  <w:r/>
                  <w:r>
                    <w:rPr>
                      <w:rFonts w:ascii="Calibri" w:hAnsi="Calibri"/>
                      <w:b w:val="0"/>
                      <w:sz w:val="38"/>
                    </w:rPr>
                    <w:t>County wildfire risk &amp; SVI (/api/nri)</w:t>
                  </w:r>
                </w:p>
              </w:tc>
            </w:tr>
            <w:tr>
              <w:tc>
                <w:tcPr>
                  <w:tcW w:type="dxa" w:w="7520"/>
                </w:tcPr>
                <w:p>
                  <w:r/>
                  <w:r>
                    <w:rPr>
                      <w:rFonts w:ascii="Calibri" w:hAnsi="Calibri"/>
                      <w:b w:val="0"/>
                      <w:sz w:val="38"/>
                    </w:rPr>
                    <w:t>6</w:t>
                  </w:r>
                </w:p>
              </w:tc>
              <w:tc>
                <w:tcPr>
                  <w:tcW w:type="dxa" w:w="7520"/>
                </w:tcPr>
                <w:p>
                  <w:r/>
                  <w:r>
                    <w:rPr>
                      <w:rFonts w:ascii="Calibri" w:hAnsi="Calibri"/>
                      <w:b w:val="0"/>
                      <w:sz w:val="38"/>
                    </w:rPr>
                    <w:t>Open-Meteo</w:t>
                  </w:r>
                </w:p>
              </w:tc>
              <w:tc>
                <w:tcPr>
                  <w:tcW w:type="dxa" w:w="7520"/>
                </w:tcPr>
                <w:p>
                  <w:r/>
                  <w:r>
                    <w:rPr>
                      <w:rFonts w:ascii="Calibri" w:hAnsi="Calibri"/>
                      <w:b w:val="0"/>
                      <w:sz w:val="38"/>
                    </w:rPr>
                    <w:t>Weather and fire-weather heuristic (/api/weather)</w:t>
                  </w:r>
                </w:p>
              </w:tc>
            </w:tr>
            <w:tr>
              <w:tc>
                <w:tcPr>
                  <w:tcW w:type="dxa" w:w="7520"/>
                </w:tcPr>
                <w:p>
                  <w:r/>
                  <w:r>
                    <w:rPr>
                      <w:rFonts w:ascii="Calibri" w:hAnsi="Calibri"/>
                      <w:b w:val="0"/>
                      <w:sz w:val="38"/>
                    </w:rPr>
                    <w:t>7</w:t>
                  </w:r>
                </w:p>
              </w:tc>
              <w:tc>
                <w:tcPr>
                  <w:tcW w:type="dxa" w:w="7520"/>
                </w:tcPr>
                <w:p>
                  <w:r/>
                  <w:r>
                    <w:rPr>
                      <w:rFonts w:ascii="Calibri" w:hAnsi="Calibri"/>
                      <w:b w:val="0"/>
                      <w:sz w:val="38"/>
                    </w:rPr>
                    <w:t>Hazard facilities (30)</w:t>
                  </w:r>
                </w:p>
              </w:tc>
              <w:tc>
                <w:tcPr>
                  <w:tcW w:type="dxa" w:w="7520"/>
                </w:tcPr>
                <w:p>
                  <w:r/>
                  <w:r>
                    <w:rPr>
                      <w:rFonts w:ascii="Calibri" w:hAnsi="Calibri"/>
                      <w:b w:val="0"/>
                      <w:sz w:val="38"/>
                    </w:rPr>
                    <w:t>Nuclear / chemical / LNG — routing and context</w:t>
                  </w:r>
                </w:p>
              </w:tc>
            </w:tr>
            <w:tr>
              <w:tc>
                <w:tcPr>
                  <w:tcW w:type="dxa" w:w="7520"/>
                </w:tcPr>
                <w:p>
                  <w:r/>
                  <w:r>
                    <w:rPr>
                      <w:rFonts w:ascii="Calibri" w:hAnsi="Calibri"/>
                      <w:b w:val="0"/>
                      <w:sz w:val="38"/>
                    </w:rPr>
                    <w:t>8</w:t>
                  </w:r>
                </w:p>
              </w:tc>
              <w:tc>
                <w:tcPr>
                  <w:tcW w:type="dxa" w:w="7520"/>
                </w:tcPr>
                <w:p>
                  <w:r/>
                  <w:r>
                    <w:rPr>
                      <w:rFonts w:ascii="Calibri" w:hAnsi="Calibri"/>
                      <w:b w:val="0"/>
                      <w:sz w:val="38"/>
                    </w:rPr>
                    <w:t>Google Places / Routes</w:t>
                  </w:r>
                </w:p>
              </w:tc>
              <w:tc>
                <w:tcPr>
                  <w:tcW w:type="dxa" w:w="7520"/>
                </w:tcPr>
                <w:p>
                  <w:r/>
                  <w:r>
                    <w:rPr>
                      <w:rFonts w:ascii="Calibri" w:hAnsi="Calibri"/>
                      <w:b w:val="0"/>
                      <w:sz w:val="38"/>
                    </w:rPr>
                    <w:t>Geocoding and hazard-aware shelter routing</w:t>
                  </w:r>
                </w:p>
              </w:tc>
            </w:tr>
          </w:tbl>
          <w:p/>
          <w:p>
            <w:pPr>
              <w:spacing w:after="120"/>
            </w:pPr>
            <w:r>
              <w:rPr>
                <w:rFonts w:ascii="Calibri" w:hAnsi="Calibri"/>
                <w:b/>
                <w:color w:val="666666"/>
                <w:sz w:val="38"/>
              </w:rPr>
              <w:t>[ Figure 3 — INSERT ≥300 DPI — End-to-end pipeline (~10 in wide) ]</w:t>
            </w:r>
          </w:p>
          <w:p>
            <w:pPr>
              <w:spacing w:after="240" w:before="80"/>
            </w:pPr>
            <w:r>
              <w:rPr>
                <w:rFonts w:ascii="Calibri" w:hAnsi="Calibri"/>
                <w:b w:val="0"/>
                <w:sz w:val="44"/>
              </w:rPr>
              <w:t>Figure 3. End-to-end pipeline: NIFC / FIRMS / NSS / Open-Meteo / NRI / hazards / (optional) Google → Next.js APIs → Supabase + maps + Flameo.</w:t>
            </w:r>
          </w:p>
          <w:p>
            <w:pPr>
              <w:spacing w:after="120"/>
            </w:pPr>
            <w:r>
              <w:rPr>
                <w:rFonts w:ascii="Calibri" w:hAnsi="Calibri"/>
                <w:b/>
                <w:color w:val="666666"/>
                <w:sz w:val="38"/>
              </w:rPr>
              <w:t>[ Figure 4 — INSERT ≥300 DPI — Flameo A/B/C + COMMAND (~8 in wide) ]</w:t>
            </w:r>
          </w:p>
          <w:p>
            <w:pPr>
              <w:spacing w:after="240" w:before="80"/>
            </w:pPr>
            <w:r>
              <w:rPr>
                <w:rFonts w:ascii="Calibri" w:hAnsi="Calibri"/>
                <w:b w:val="0"/>
                <w:sz w:val="44"/>
              </w:rPr>
              <w:t>Figure 4. Flameo architecture: Phase A structured JSON (no LLM); B briefing; C grounded chat + guardrails; COMMAND mode.</w:t>
            </w:r>
          </w:p>
        </w:tc>
        <w:tc>
          <w:tcPr>
            <w:tcW w:type="dxa" w:w="22560"/>
            <w:tcMar>
              <w:top w:w="108" w:type="dxa"/>
              <w:bottom w:w="108" w:type="dxa"/>
              <w:left w:w="100" w:type="dxa"/>
              <w:right w:w="100" w:type="dxa"/>
            </w:tcMar>
          </w:tcPr>
          <w:p/>
          <w:p>
            <w:pPr>
              <w:spacing w:after="120" w:before="200"/>
              <w:jc w:val="left"/>
            </w:pPr>
            <w:r>
              <w:rPr>
                <w:rFonts w:ascii="Calibri" w:hAnsi="Calibri"/>
                <w:b/>
                <w:color w:val="5B21B6"/>
                <w:sz w:val="72"/>
              </w:rPr>
              <w:t>Results</w:t>
            </w:r>
          </w:p>
          <w:p>
            <w:pPr>
              <w:spacing w:after="160" w:line="259" w:lineRule="auto"/>
              <w:jc w:val="left"/>
            </w:pPr>
            <w:r>
              <w:rPr>
                <w:rFonts w:ascii="Calibri" w:hAnsi="Calibri"/>
                <w:b w:val="0"/>
                <w:sz w:val="52"/>
              </w:rPr>
              <w:t>Empirical alert chain (WatchDuty-style WiDS frame, 62,696 fires): 41,906 fires (99.74%) with early external signal still had no evacuation action; among 298 extreme-spread fires, 211 (70.8%) had no evacuation action. Fires in high-SVI counties grew ~17% faster than average. County SVI vs. orders: high-SVI counties (SVI &gt; 0.70) showed ~0.7% evacuation-order rate vs ~2.4% in lower-SVI counties (SVI &lt; 0.55)—order-of-magnitude 3.4× gap—consistent with structural exclusion, not only delay. Product: the web app delivers verified-address anchoring, hazard-aware shelter cards, push escalation, and role dashboards; iOS mirrors core field flows. Notebook: geographic concentration, missingness, density-stratified signal gaps, RandomForest feature ranking (synthetic benchmark: log acres, wind speed, containment lead; re-run on competition train.csv for held-out metrics—demo labels are rule-derived). Live /api/active-fires, /api/shelters/live, /api/weather validate the deployed stack.</w:t>
            </w:r>
          </w:p>
          <w:p>
            <w:pPr>
              <w:spacing w:after="120" w:before="200"/>
              <w:jc w:val="left"/>
            </w:pPr>
            <w:r>
              <w:rPr>
                <w:rFonts w:ascii="Calibri" w:hAnsi="Calibri"/>
                <w:b/>
                <w:color w:val="5B21B6"/>
                <w:sz w:val="72"/>
              </w:rPr>
              <w:t>Table 2. Solution highlights (quantitative + product)</w:t>
            </w:r>
          </w:p>
          <w:tbl>
            <w:tblPr>
              <w:tblW w:type="auto" w:w="0"/>
              <w:tblLook w:firstColumn="1" w:firstRow="1" w:lastColumn="0" w:lastRow="0" w:noHBand="0" w:noVBand="1" w:val="04A0"/>
              <w:tblBorders>
                <w:top w:val="single" w:sz="4" w:space="0" w:color="666666"/>
                <w:bottom w:val="single" w:sz="4" w:space="0" w:color="666666"/>
                <w:left w:val="single" w:sz="4" w:space="0" w:color="666666"/>
                <w:right w:val="single" w:sz="4" w:space="0" w:color="666666"/>
                <w:insideH w:val="single" w:sz="4" w:space="0" w:color="666666"/>
                <w:insideV w:val="single" w:sz="4" w:space="0" w:color="666666"/>
              </w:tblBorders>
            </w:tblPr>
            <w:tblGrid>
              <w:gridCol w:w="11280"/>
              <w:gridCol w:w="11280"/>
            </w:tblGrid>
            <w:tr>
              <w:tc>
                <w:tcPr>
                  <w:tcW w:type="dxa" w:w="11280"/>
                </w:tcPr>
                <w:p>
                  <w:r/>
                  <w:r>
                    <w:rPr>
                      <w:rFonts w:ascii="Calibri" w:hAnsi="Calibri"/>
                      <w:b/>
                      <w:sz w:val="38"/>
                    </w:rPr>
                    <w:t>Theme</w:t>
                  </w:r>
                </w:p>
              </w:tc>
              <w:tc>
                <w:tcPr>
                  <w:tcW w:type="dxa" w:w="11280"/>
                </w:tcPr>
                <w:p>
                  <w:r/>
                  <w:r>
                    <w:rPr>
                      <w:rFonts w:ascii="Calibri" w:hAnsi="Calibri"/>
                      <w:b/>
                      <w:sz w:val="38"/>
                    </w:rPr>
                    <w:t>Result / demonstration</w:t>
                  </w:r>
                </w:p>
              </w:tc>
            </w:tr>
            <w:tr>
              <w:tc>
                <w:tcPr>
                  <w:tcW w:type="dxa" w:w="11280"/>
                </w:tcPr>
                <w:p>
                  <w:r/>
                  <w:r>
                    <w:rPr>
                      <w:rFonts w:ascii="Calibri" w:hAnsi="Calibri"/>
                      <w:b w:val="0"/>
                      <w:sz w:val="38"/>
                    </w:rPr>
                    <w:t>Silent / signal gap</w:t>
                  </w:r>
                </w:p>
              </w:tc>
              <w:tc>
                <w:tcPr>
                  <w:tcW w:type="dxa" w:w="11280"/>
                </w:tcPr>
                <w:p>
                  <w:r/>
                  <w:r>
                    <w:rPr>
                      <w:rFonts w:ascii="Calibri" w:hAnsi="Calibri"/>
                      <w:b w:val="0"/>
                      <w:sz w:val="38"/>
                    </w:rPr>
                    <w:t>73.5% no public alert; 99.74% no action despite early signal</w:t>
                  </w:r>
                </w:p>
              </w:tc>
            </w:tr>
            <w:tr>
              <w:tc>
                <w:tcPr>
                  <w:tcW w:type="dxa" w:w="11280"/>
                </w:tcPr>
                <w:p>
                  <w:r/>
                  <w:r>
                    <w:rPr>
                      <w:rFonts w:ascii="Calibri" w:hAnsi="Calibri"/>
                      <w:b w:val="0"/>
                      <w:sz w:val="38"/>
                    </w:rPr>
                    <w:t>Equity</w:t>
                  </w:r>
                </w:p>
              </w:tc>
              <w:tc>
                <w:tcPr>
                  <w:tcW w:type="dxa" w:w="11280"/>
                </w:tcPr>
                <w:p>
                  <w:r/>
                  <w:r>
                    <w:rPr>
                      <w:rFonts w:ascii="Calibri" w:hAnsi="Calibri"/>
                      <w:b w:val="0"/>
                      <w:sz w:val="38"/>
                    </w:rPr>
                    <w:t>3.4× order-rate gap high- vs lower-SVI; +17% faster growth in vulnerable counties</w:t>
                  </w:r>
                </w:p>
              </w:tc>
            </w:tr>
            <w:tr>
              <w:tc>
                <w:tcPr>
                  <w:tcW w:type="dxa" w:w="11280"/>
                </w:tcPr>
                <w:p>
                  <w:r/>
                  <w:r>
                    <w:rPr>
                      <w:rFonts w:ascii="Calibri" w:hAnsi="Calibri"/>
                      <w:b w:val="0"/>
                      <w:sz w:val="38"/>
                    </w:rPr>
                    <w:t>Extreme events</w:t>
                  </w:r>
                </w:p>
              </w:tc>
              <w:tc>
                <w:tcPr>
                  <w:tcW w:type="dxa" w:w="11280"/>
                </w:tcPr>
                <w:p>
                  <w:r/>
                  <w:r>
                    <w:rPr>
                      <w:rFonts w:ascii="Calibri" w:hAnsi="Calibri"/>
                      <w:b w:val="0"/>
                      <w:sz w:val="38"/>
                    </w:rPr>
                    <w:t>70.8% of extreme-spread fires with no evacuation action</w:t>
                  </w:r>
                </w:p>
              </w:tc>
            </w:tr>
            <w:tr>
              <w:tc>
                <w:tcPr>
                  <w:tcW w:type="dxa" w:w="11280"/>
                </w:tcPr>
                <w:p>
                  <w:r/>
                  <w:r>
                    <w:rPr>
                      <w:rFonts w:ascii="Calibri" w:hAnsi="Calibri"/>
                      <w:b w:val="0"/>
                      <w:sz w:val="38"/>
                    </w:rPr>
                    <w:t>Flameo / routing</w:t>
                  </w:r>
                </w:p>
              </w:tc>
              <w:tc>
                <w:tcPr>
                  <w:tcW w:type="dxa" w:w="11280"/>
                </w:tcPr>
                <w:p>
                  <w:r/>
                  <w:r>
                    <w:rPr>
                      <w:rFonts w:ascii="Calibri" w:hAnsi="Calibri"/>
                      <w:b w:val="0"/>
                      <w:sz w:val="38"/>
                    </w:rPr>
                    <w:t>Phase A JSON context; shelter routes with hazard-buffer awareness</w:t>
                  </w:r>
                </w:p>
              </w:tc>
            </w:tr>
            <w:tr>
              <w:tc>
                <w:tcPr>
                  <w:tcW w:type="dxa" w:w="11280"/>
                </w:tcPr>
                <w:p>
                  <w:r/>
                  <w:r>
                    <w:rPr>
                      <w:rFonts w:ascii="Calibri" w:hAnsi="Calibri"/>
                      <w:b w:val="0"/>
                      <w:sz w:val="38"/>
                    </w:rPr>
                    <w:t>Responder rollup</w:t>
                  </w:r>
                </w:p>
              </w:tc>
              <w:tc>
                <w:tcPr>
                  <w:tcW w:type="dxa" w:w="11280"/>
                </w:tcPr>
                <w:p>
                  <w:r/>
                  <w:r>
                    <w:rPr>
                      <w:rFonts w:ascii="Calibri" w:hAnsi="Calibri"/>
                      <w:b w:val="0"/>
                      <w:sz w:val="38"/>
                    </w:rPr>
                    <w:t>Two-status model (home vs personal safety) for X/Y evacuated clarity</w:t>
                  </w:r>
                </w:p>
              </w:tc>
            </w:tr>
            <w:tr>
              <w:tc>
                <w:tcPr>
                  <w:tcW w:type="dxa" w:w="11280"/>
                </w:tcPr>
                <w:p>
                  <w:r/>
                  <w:r>
                    <w:rPr>
                      <w:rFonts w:ascii="Calibri" w:hAnsi="Calibri"/>
                      <w:b w:val="0"/>
                      <w:sz w:val="38"/>
                    </w:rPr>
                    <w:t>Reproducibility</w:t>
                  </w:r>
                </w:p>
              </w:tc>
              <w:tc>
                <w:tcPr>
                  <w:tcW w:type="dxa" w:w="11280"/>
                </w:tcPr>
                <w:p>
                  <w:r/>
                  <w:r>
                    <w:rPr>
                      <w:rFonts w:ascii="Calibri" w:hAnsi="Calibri"/>
                      <w:b w:val="0"/>
                      <w:sz w:val="38"/>
                    </w:rPr>
                    <w:t>GitHub + kaggle_wids_2026_minutes_matter.ipynb + minutes_matter_kaggle.py</w:t>
                  </w:r>
                </w:p>
              </w:tc>
            </w:tr>
          </w:tbl>
          <w:p/>
          <w:p>
            <w:pPr>
              <w:spacing w:after="120"/>
            </w:pPr>
            <w:r>
              <w:rPr>
                <w:rFonts w:ascii="Calibri" w:hAnsi="Calibri"/>
                <w:b/>
                <w:color w:val="666666"/>
                <w:sz w:val="38"/>
              </w:rPr>
              <w:t>[ Figure 5 — INSERT ≥300 DPI — Minutes Matter UI screenshot (~12 in wide) ]</w:t>
            </w:r>
          </w:p>
          <w:p>
            <w:pPr>
              <w:spacing w:after="240" w:before="80"/>
            </w:pPr>
            <w:r>
              <w:rPr>
                <w:rFonts w:ascii="Calibri" w:hAnsi="Calibri"/>
                <w:b w:val="0"/>
                <w:sz w:val="44"/>
              </w:rPr>
              <w:t>Figure 5. Minutes Matter UI: consumer hub or evacuation map with shelters, fire layers, hazard context.</w:t>
            </w:r>
          </w:p>
          <w:p>
            <w:pPr>
              <w:spacing w:after="120"/>
            </w:pPr>
            <w:r>
              <w:rPr>
                <w:rFonts w:ascii="Calibri" w:hAnsi="Calibri"/>
                <w:b/>
                <w:color w:val="666666"/>
                <w:sz w:val="38"/>
              </w:rPr>
              <w:t>[ Figure 6 — INSERT ≥300 DPI — Notebook: incidents by state or time (~9 in wide) ]</w:t>
            </w:r>
          </w:p>
          <w:p>
            <w:pPr>
              <w:spacing w:after="240" w:before="80"/>
            </w:pPr>
            <w:r>
              <w:rPr>
                <w:rFonts w:ascii="Calibri" w:hAnsi="Calibri"/>
                <w:b w:val="0"/>
                <w:sz w:val="44"/>
              </w:rPr>
              <w:t>Figure 6. Notebook: WatchDuty-style exploration — incidents by state or time.</w:t>
            </w:r>
          </w:p>
          <w:p>
            <w:pPr>
              <w:spacing w:after="120"/>
            </w:pPr>
            <w:r>
              <w:rPr>
                <w:rFonts w:ascii="Calibri" w:hAnsi="Calibri"/>
                <w:b/>
                <w:color w:val="666666"/>
                <w:sz w:val="38"/>
              </w:rPr>
              <w:t>[ Figure 7 — INSERT ≥300 DPI — RandomForest feature importance (~9 in wide) ]</w:t>
            </w:r>
          </w:p>
          <w:p>
            <w:pPr>
              <w:spacing w:after="240" w:before="80"/>
            </w:pPr>
            <w:r>
              <w:rPr>
                <w:rFonts w:ascii="Calibri" w:hAnsi="Calibri"/>
                <w:b w:val="0"/>
                <w:sz w:val="44"/>
              </w:rPr>
              <w:t>Figure 7. Notebook: RandomForest feature importance (log acres, wind, containment typical on demo; update after competition train run).</w:t>
            </w:r>
          </w:p>
          <w:p>
            <w:pPr>
              <w:spacing w:after="120"/>
            </w:pPr>
            <w:r>
              <w:rPr>
                <w:rFonts w:ascii="Calibri" w:hAnsi="Calibri"/>
                <w:b/>
                <w:color w:val="666666"/>
                <w:sz w:val="38"/>
              </w:rPr>
              <w:t>[ Figure 8 — INSERT ≥300 DPI — Equity / delay analysis (~9 in wide) ]</w:t>
            </w:r>
          </w:p>
          <w:p>
            <w:pPr>
              <w:spacing w:after="240" w:before="80"/>
            </w:pPr>
            <w:r>
              <w:rPr>
                <w:rFonts w:ascii="Calibri" w:hAnsi="Calibri"/>
                <w:b w:val="0"/>
                <w:sz w:val="44"/>
              </w:rPr>
              <w:t>Figure 8. Notebook: equity / delay — e.g. silent rate by density quintile or SVI vs wildfire risk by county.</w:t>
            </w:r>
          </w:p>
          <w:p>
            <w:pPr>
              <w:spacing w:after="120" w:before="200"/>
              <w:jc w:val="left"/>
            </w:pPr>
            <w:r>
              <w:rPr>
                <w:rFonts w:ascii="Calibri" w:hAnsi="Calibri"/>
                <w:b/>
                <w:color w:val="5B21B6"/>
                <w:sz w:val="72"/>
              </w:rPr>
              <w:t>Discussion</w:t>
            </w:r>
          </w:p>
          <w:p>
            <w:pPr>
              <w:spacing w:after="160" w:line="259" w:lineRule="auto"/>
              <w:jc w:val="left"/>
            </w:pPr>
            <w:r>
              <w:rPr>
                <w:rFonts w:ascii="Calibri" w:hAnsi="Calibri"/>
                <w:b w:val="0"/>
                <w:sz w:val="52"/>
              </w:rPr>
              <w:t>Minutes Matter maps Track 1 goals to a testable system: earlier awareness through multi-source fusion, clearer next actions via structured UI and Flameo guardrails, and equity-aware analytics that acknowledge WatchDuty coverage bias and missing ground truth. Compared to alert-only baselines, we stress actionable routing, household and family aggregation, and responder visibility under consent. Limitations: reliance on third-party API availability; sparse shelter feeds when no incident is active; generative outputs require human oversight for life-safety messaging; notebook RF metrics on synthetic / rule-labeled rows are not claimed as real-world AUC. Next steps: tighter calibration to official evacuation orders, multilingual alert templates aligned with WiDS playbook concepts, and prospective evaluation with drills or pilots. The GitHub repository and Kaggle notebook support reproducibility for judges and partners. Per WiDS instructions, this Word file will be adapted into a Figma print layout; gray figure placeholders should be replaced with numbered ≥300 DPI exports before or after handoff.</w:t>
            </w:r>
          </w:p>
          <w:p>
            <w:pPr>
              <w:spacing w:after="120" w:before="200"/>
              <w:jc w:val="left"/>
            </w:pPr>
            <w:r>
              <w:rPr>
                <w:rFonts w:ascii="Calibri" w:hAnsi="Calibri"/>
                <w:b/>
                <w:color w:val="5B21B6"/>
                <w:sz w:val="72"/>
              </w:rPr>
              <w:t>References and Acknowledgments</w:t>
            </w:r>
          </w:p>
          <w:p>
            <w:pPr>
              <w:spacing w:after="120" w:line="252" w:lineRule="auto"/>
            </w:pPr>
            <w:r>
              <w:rPr>
                <w:rFonts w:ascii="Calibri" w:hAnsi="Calibri"/>
                <w:b w:val="0"/>
                <w:sz w:val="36"/>
              </w:rPr>
              <w:t>References: (1) WiDS Worldwide, WiDS University Datathon 2026, Track 1. (2) WatchDuty — https://www.watchduty.org/ (3) NASA FIRMS — https://firms.modaps.eosdis.nasa.gov/ (4) NIFC / Esri active incident services. (5) FEMA NRI — https://hazards.fema.gov/nri/ (6) FEMA NSS Open Shelters. (7) Open-Meteo — https://open-meteo.com/ (8) Anthropic Claude API (Flameo). (9) Supabase, Vercel, Next.js documentation. Acknowledgments: WiDS Worldwide; WiDS Apprenticeship Pilot; Accenture Song; UNC Charlotte faculty and advisors; open-data providers; WatchDuty and first-responder communities.</w:t>
            </w:r>
          </w:p>
        </w:tc>
      </w:tr>
    </w:tbl>
    <w:sectPr w:rsidR="00FC693F" w:rsidRPr="0006063C" w:rsidSect="00034616">
      <w:pgSz w:w="69120" w:h="518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