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66960"/>
        <w:tblBorders>
          <w:top w:val="single" w:color="auto" w:sz="4"/>
          <w:left w:val="single" w:color="auto" w:sz="4"/>
          <w:bottom w:val="single" w:color="auto" w:sz="4"/>
          <w:right w:val="single" w:color="auto" w:sz="4"/>
          <w:insideH w:val="single" w:color="auto" w:sz="4"/>
          <w:insideV w:val="single" w:color="auto" w:sz="4"/>
        </w:tblBorders>
      </w:tblPr>
      <w:tblGrid>
        <w:gridCol w:w="66960"/>
      </w:tblGrid>
      <w:tr>
        <w:tc>
          <w:tcPr>
            <w:tcW w:type="dxa" w:w="66960"/>
            <w:tcBorders>
              <w:top w:val="none" w:color="FFFFFF" w:sz="0"/>
              <w:left w:val="none" w:color="FFFFFF" w:sz="0"/>
              <w:bottom w:val="single" w:color="2D5016" w:sz="16"/>
              <w:right w:val="none" w:color="FFFFFF" w:sz="0"/>
            </w:tcBorders>
            <w:shd w:fill="EAF2E3" w:val="clear"/>
            <w:tcMar>
              <w:top w:type="dxa" w:w="400"/>
              <w:left w:type="dxa" w:w="600"/>
              <w:bottom w:type="dxa" w:w="400"/>
              <w:right w:type="dxa" w:w="600"/>
            </w:tcMar>
          </w:tcPr>
          <w:p>
            <w:pPr>
              <w:spacing w:after="120" w:before="0"/>
              <w:jc w:val="center"/>
            </w:pPr>
            <w:r>
              <w:rPr>
                <w:rFonts w:ascii="Arial" w:cs="Arial" w:eastAsia="Arial" w:hAnsi="Arial"/>
                <w:b/>
                <w:bCs/>
                <w:color w:val="2D5016"/>
                <w:sz w:val="144"/>
                <w:szCs w:val="144"/>
              </w:rPr>
              <w:t xml:space="preserve">WildfireAlert: Closing the 99.3% Signal Gap Through Equity-Driven Caregiver Alerting</w:t>
            </w:r>
          </w:p>
          <w:p>
            <w:pPr>
              <w:spacing w:after="80" w:before="0"/>
              <w:jc w:val="center"/>
            </w:pPr>
            <w:r>
              <w:rPr>
                <w:rFonts w:ascii="Arial" w:cs="Arial" w:eastAsia="Arial" w:hAnsi="Arial"/>
                <w:color w:val="1A1A1A"/>
                <w:sz w:val="96"/>
                <w:szCs w:val="96"/>
              </w:rPr>
              <w:t xml:space="preserve">Lena Ayesh  ·  Katie Leedom  ·  Nadia Narayanan  ·  Anisha Nannapaneni</w:t>
            </w:r>
          </w:p>
          <w:p>
            <w:pPr>
              <w:spacing w:after="60" w:before="0"/>
              <w:jc w:val="center"/>
            </w:pPr>
            <w:r>
              <w:rPr>
                <w:rFonts w:ascii="Arial" w:cs="Arial" w:eastAsia="Arial" w:hAnsi="Arial"/>
                <w:color w:val="E65100"/>
                <w:sz w:val="72"/>
                <w:szCs w:val="72"/>
              </w:rPr>
              <w:t xml:space="preserve">University of North Carolina Charlotte  |  49ers Intelligence Lab  |  WiDS Datathon 2026 — Track 1: Accelerating Equitable Evacuations</w:t>
            </w:r>
          </w:p>
          <w:p>
            <w:pPr>
              <w:spacing w:after="0" w:before="40"/>
              <w:jc w:val="center"/>
            </w:pPr>
            <w:r>
              <w:rPr>
                <w:rFonts w:ascii="Arial" w:cs="Arial" w:eastAsia="Arial" w:hAnsi="Arial"/>
                <w:color w:val="888888"/>
                <w:sz w:val="52"/>
                <w:szCs w:val="52"/>
              </w:rPr>
              <w:t xml:space="preserve">[Accenture Song logo]  ·  [WiDS Worldwide logo]</w:t>
            </w:r>
          </w:p>
        </w:tc>
      </w:tr>
    </w:tbl>
    <w:p>
      <w:pPr>
        <w:spacing w:after="0" w:before="200"/>
      </w:pPr>
    </w:p>
    <w:tbl>
      <w:tblPr>
        <w:tblW w:type="dxa" w:w="66960"/>
        <w:tblBorders>
          <w:top w:val="single" w:color="auto" w:sz="4"/>
          <w:left w:val="single" w:color="auto" w:sz="4"/>
          <w:bottom w:val="single" w:color="auto" w:sz="4"/>
          <w:right w:val="single" w:color="auto" w:sz="4"/>
          <w:insideH w:val="single" w:color="auto" w:sz="4"/>
          <w:insideV w:val="single" w:color="auto" w:sz="4"/>
        </w:tblBorders>
      </w:tblPr>
      <w:tblGrid>
        <w:gridCol w:w="16740"/>
        <w:gridCol w:w="16740"/>
        <w:gridCol w:w="16740"/>
        <w:gridCol w:w="16740"/>
      </w:tblGrid>
      <w:tr>
        <w:tc>
          <w:tcPr>
            <w:tcW w:type="dxa" w:w="16740"/>
            <w:tcBorders>
              <w:top w:val="none" w:color="FFFFFF" w:sz="0"/>
              <w:left w:val="none" w:color="FFFFFF" w:sz="0"/>
              <w:bottom w:val="none" w:color="FFFFFF" w:sz="0"/>
              <w:right w:val="single" w:color="CCCCCC" w:sz="4"/>
            </w:tcBorders>
            <w:shd w:fill="FFF8F0" w:val="clear"/>
            <w:tcMar>
              <w:top w:type="dxa" w:w="200"/>
              <w:left w:type="dxa" w:w="300"/>
              <w:bottom w:type="dxa" w:w="200"/>
              <w:right w:type="dxa" w:w="300"/>
            </w:tcMar>
            <w:vAlign w:val="center"/>
          </w:tcPr>
          <w:p>
            <w:pPr>
              <w:spacing w:after="40" w:before="0"/>
              <w:jc w:val="center"/>
            </w:pPr>
            <w:r>
              <w:rPr>
                <w:rFonts w:ascii="Arial" w:cs="Arial" w:eastAsia="Arial" w:hAnsi="Arial"/>
                <w:b/>
                <w:bCs/>
                <w:color w:val="BF360C"/>
                <w:sz w:val="144"/>
                <w:szCs w:val="144"/>
              </w:rPr>
              <w:t xml:space="preserve">99.3%</w:t>
            </w:r>
          </w:p>
          <w:p>
            <w:pPr>
              <w:spacing w:after="0" w:before="0"/>
              <w:jc w:val="center"/>
            </w:pPr>
            <w:r>
              <w:rPr>
                <w:rFonts w:ascii="Arial" w:cs="Arial" w:eastAsia="Arial" w:hAnsi="Arial"/>
                <w:color w:val="1A1A1A"/>
                <w:sz w:val="52"/>
                <w:szCs w:val="52"/>
              </w:rPr>
              <w:t xml:space="preserve">of fires with signals</w:t>
            </w:r>
          </w:p>
          <w:p>
            <w:pPr>
              <w:spacing w:after="0" w:before="0"/>
              <w:jc w:val="center"/>
            </w:pPr>
            <w:r>
              <w:rPr>
                <w:rFonts w:ascii="Arial" w:cs="Arial" w:eastAsia="Arial" w:hAnsi="Arial"/>
                <w:color w:val="1A1A1A"/>
                <w:sz w:val="52"/>
                <w:szCs w:val="52"/>
              </w:rPr>
              <w:t xml:space="preserve">never got orders</w:t>
            </w:r>
          </w:p>
        </w:tc>
        <w:tc>
          <w:tcPr>
            <w:tcW w:type="dxa" w:w="16740"/>
            <w:tcBorders>
              <w:top w:val="none" w:color="FFFFFF" w:sz="0"/>
              <w:left w:val="none" w:color="FFFFFF" w:sz="0"/>
              <w:bottom w:val="none" w:color="FFFFFF" w:sz="0"/>
              <w:right w:val="single" w:color="CCCCCC" w:sz="4"/>
            </w:tcBorders>
            <w:shd w:fill="FFF8F0" w:val="clear"/>
            <w:tcMar>
              <w:top w:type="dxa" w:w="200"/>
              <w:left w:type="dxa" w:w="300"/>
              <w:bottom w:type="dxa" w:w="200"/>
              <w:right w:type="dxa" w:w="300"/>
            </w:tcMar>
            <w:vAlign w:val="center"/>
          </w:tcPr>
          <w:p>
            <w:pPr>
              <w:spacing w:after="40" w:before="0"/>
              <w:jc w:val="center"/>
            </w:pPr>
            <w:r>
              <w:rPr>
                <w:rFonts w:ascii="Arial" w:cs="Arial" w:eastAsia="Arial" w:hAnsi="Arial"/>
                <w:b/>
                <w:bCs/>
                <w:color w:val="BF360C"/>
                <w:sz w:val="144"/>
                <w:szCs w:val="144"/>
              </w:rPr>
              <w:t xml:space="preserve">18×</w:t>
            </w:r>
          </w:p>
          <w:p>
            <w:pPr>
              <w:spacing w:after="0" w:before="0"/>
              <w:jc w:val="center"/>
            </w:pPr>
            <w:r>
              <w:rPr>
                <w:rFonts w:ascii="Arial" w:cs="Arial" w:eastAsia="Arial" w:hAnsi="Arial"/>
                <w:color w:val="1A1A1A"/>
                <w:sz w:val="52"/>
                <w:szCs w:val="52"/>
              </w:rPr>
              <w:t xml:space="preserve">state disparity in</w:t>
            </w:r>
          </w:p>
          <w:p>
            <w:pPr>
              <w:spacing w:after="0" w:before="0"/>
              <w:jc w:val="center"/>
            </w:pPr>
            <w:r>
              <w:rPr>
                <w:rFonts w:ascii="Arial" w:cs="Arial" w:eastAsia="Arial" w:hAnsi="Arial"/>
                <w:color w:val="1A1A1A"/>
                <w:sz w:val="52"/>
                <w:szCs w:val="52"/>
              </w:rPr>
              <w:t xml:space="preserve">evacuation order rates</w:t>
            </w:r>
          </w:p>
        </w:tc>
        <w:tc>
          <w:tcPr>
            <w:tcW w:type="dxa" w:w="16740"/>
            <w:tcBorders>
              <w:top w:val="none" w:color="FFFFFF" w:sz="0"/>
              <w:left w:val="none" w:color="FFFFFF" w:sz="0"/>
              <w:bottom w:val="none" w:color="FFFFFF" w:sz="0"/>
              <w:right w:val="single" w:color="CCCCCC" w:sz="4"/>
            </w:tcBorders>
            <w:shd w:fill="FFF8F0" w:val="clear"/>
            <w:tcMar>
              <w:top w:type="dxa" w:w="200"/>
              <w:left w:type="dxa" w:w="300"/>
              <w:bottom w:type="dxa" w:w="200"/>
              <w:right w:type="dxa" w:w="300"/>
            </w:tcMar>
            <w:vAlign w:val="center"/>
          </w:tcPr>
          <w:p>
            <w:pPr>
              <w:spacing w:after="40" w:before="0"/>
              <w:jc w:val="center"/>
            </w:pPr>
            <w:r>
              <w:rPr>
                <w:rFonts w:ascii="Arial" w:cs="Arial" w:eastAsia="Arial" w:hAnsi="Arial"/>
                <w:b/>
                <w:bCs/>
                <w:color w:val="BF360C"/>
                <w:sz w:val="144"/>
                <w:szCs w:val="144"/>
              </w:rPr>
              <w:t xml:space="preserve">0.89</w:t>
            </w:r>
          </w:p>
          <w:p>
            <w:pPr>
              <w:spacing w:after="0" w:before="0"/>
              <w:jc w:val="center"/>
            </w:pPr>
            <w:r>
              <w:rPr>
                <w:rFonts w:ascii="Arial" w:cs="Arial" w:eastAsia="Arial" w:hAnsi="Arial"/>
                <w:color w:val="1A1A1A"/>
                <w:sz w:val="52"/>
                <w:szCs w:val="52"/>
              </w:rPr>
              <w:t xml:space="preserve">avg SVI of 100 silent</w:t>
            </w:r>
          </w:p>
          <w:p>
            <w:pPr>
              <w:spacing w:after="0" w:before="0"/>
              <w:jc w:val="center"/>
            </w:pPr>
            <w:r>
              <w:rPr>
                <w:rFonts w:ascii="Arial" w:cs="Arial" w:eastAsia="Arial" w:hAnsi="Arial"/>
                <w:color w:val="1A1A1A"/>
                <w:sz w:val="52"/>
                <w:szCs w:val="52"/>
              </w:rPr>
              <w:t xml:space="preserve">extreme-spread fires</w:t>
            </w:r>
          </w:p>
        </w:tc>
        <w:tc>
          <w:tcPr>
            <w:tcW w:type="dxa" w:w="16740"/>
            <w:tcBorders>
              <w:top w:val="none" w:color="FFFFFF" w:sz="0"/>
              <w:left w:val="none" w:color="FFFFFF" w:sz="0"/>
              <w:bottom w:val="none" w:color="FFFFFF" w:sz="0"/>
              <w:right w:val="none" w:color="FFFFFF" w:sz="0"/>
            </w:tcBorders>
            <w:shd w:fill="FFF8F0" w:val="clear"/>
            <w:tcMar>
              <w:top w:type="dxa" w:w="200"/>
              <w:left w:type="dxa" w:w="300"/>
              <w:bottom w:type="dxa" w:w="200"/>
              <w:right w:type="dxa" w:w="300"/>
            </w:tcMar>
            <w:vAlign w:val="center"/>
          </w:tcPr>
          <w:p>
            <w:pPr>
              <w:spacing w:after="40" w:before="0"/>
              <w:jc w:val="center"/>
            </w:pPr>
            <w:r>
              <w:rPr>
                <w:rFonts w:ascii="Arial" w:cs="Arial" w:eastAsia="Arial" w:hAnsi="Arial"/>
                <w:b/>
                <w:bCs/>
                <w:color w:val="BF360C"/>
                <w:sz w:val="144"/>
                <w:szCs w:val="144"/>
              </w:rPr>
              <w:t xml:space="preserve">4.1h</w:t>
            </w:r>
          </w:p>
          <w:p>
            <w:pPr>
              <w:spacing w:after="0" w:before="0"/>
              <w:jc w:val="center"/>
            </w:pPr>
            <w:r>
              <w:rPr>
                <w:rFonts w:ascii="Arial" w:cs="Arial" w:eastAsia="Arial" w:hAnsi="Arial"/>
                <w:color w:val="1A1A1A"/>
                <w:sz w:val="52"/>
                <w:szCs w:val="52"/>
              </w:rPr>
              <w:t xml:space="preserve">signal lead time</w:t>
            </w:r>
          </w:p>
          <w:p>
            <w:pPr>
              <w:spacing w:after="0" w:before="0"/>
              <w:jc w:val="center"/>
            </w:pPr>
            <w:r>
              <w:rPr>
                <w:rFonts w:ascii="Arial" w:cs="Arial" w:eastAsia="Arial" w:hAnsi="Arial"/>
                <w:color w:val="1A1A1A"/>
                <w:sz w:val="52"/>
                <w:szCs w:val="52"/>
              </w:rPr>
              <w:t xml:space="preserve">available to caregivers</w:t>
            </w:r>
          </w:p>
        </w:tc>
      </w:tr>
    </w:tbl>
    <w:p>
      <w:pPr>
        <w:spacing w:after="0" w:before="240"/>
      </w:pPr>
    </w:p>
    <w:tbl>
      <w:tblPr>
        <w:tblW w:type="dxa" w:w="66960"/>
        <w:tblBorders>
          <w:top w:val="single" w:color="auto" w:sz="4"/>
          <w:left w:val="single" w:color="auto" w:sz="4"/>
          <w:bottom w:val="single" w:color="auto" w:sz="4"/>
          <w:right w:val="single" w:color="auto" w:sz="4"/>
          <w:insideH w:val="single" w:color="auto" w:sz="4"/>
          <w:insideV w:val="single" w:color="auto" w:sz="4"/>
        </w:tblBorders>
      </w:tblPr>
      <w:tblGrid>
        <w:gridCol w:w="33120"/>
        <w:gridCol w:w="720"/>
        <w:gridCol w:w="33120"/>
      </w:tblGrid>
      <w:tr>
        <w:tc>
          <w:tcPr>
            <w:tcW w:type="dxa" w:w="33120"/>
            <w:tcBorders>
              <w:top w:val="none" w:color="FFFFFF" w:sz="0"/>
              <w:left w:val="none" w:color="FFFFFF" w:sz="0"/>
              <w:bottom w:val="none" w:color="FFFFFF" w:sz="0"/>
              <w:right w:val="none" w:color="FFFFFF" w:sz="0"/>
            </w:tcBorders>
            <w:tcMar>
              <w:top w:type="dxa" w:w="0"/>
              <w:left w:type="dxa" w:w="0"/>
              <w:bottom w:type="dxa" w:w="0"/>
              <w:right w:type="dxa" w:w="300"/>
            </w:tcMar>
            <w:vAlign w:val="top"/>
          </w:tcPr>
          <w:p>
            <w:pPr>
              <w:pBdr>
                <w:bottom w:val="single" w:color="2D5016" w:sz="8" w:space="4"/>
              </w:pBdr>
              <w:spacing w:after="100" w:before="200"/>
            </w:pPr>
            <w:r>
              <w:rPr>
                <w:rFonts w:ascii="Arial" w:cs="Arial" w:eastAsia="Arial" w:hAnsi="Arial"/>
                <w:b/>
                <w:bCs/>
                <w:color w:val="2D5016"/>
                <w:sz w:val="72"/>
                <w:szCs w:val="72"/>
              </w:rPr>
              <w:t xml:space="preserve">ABSTRACT</w:t>
            </w:r>
          </w:p>
          <w:p>
            <w:pPr>
              <w:spacing w:after="80" w:before="60"/>
              <w:jc w:val="left"/>
            </w:pPr>
            <w:r>
              <w:rPr>
                <w:rFonts w:ascii="Arial" w:cs="Arial" w:eastAsia="Arial" w:hAnsi="Arial"/>
                <w:b w:val="false"/>
                <w:bCs w:val="false"/>
                <w:color w:val="1A1A1A"/>
                <w:sz w:val="52"/>
                <w:szCs w:val="52"/>
              </w:rPr>
              <w:t xml:space="preserve">Wildfires killed more than 2,300 people and destroyed 47,000 structures in the United States between 2021 and 2025. Yet the public alert system responsible for protecting those communities fails silently and systematically: 73.5% of US wildfires produce no public alert whatsoever, and 99.3% of fires with external detection signals never receive a formal evacuation order. The populations least equipped to self-evacuate — elderly, disabled, non-English-speaking, and low-income residents — are disproportionately concentrated in precisely the counties where the alert system is most likely to fail.</w:t>
            </w:r>
          </w:p>
          <w:p>
            <w:pPr>
              <w:spacing w:after="80" w:before="0"/>
              <w:jc w:val="left"/>
            </w:pPr>
            <w:r>
              <w:rPr>
                <w:rFonts w:ascii="Arial" w:cs="Arial" w:eastAsia="Arial" w:hAnsi="Arial"/>
                <w:b w:val="false"/>
                <w:bCs w:val="false"/>
                <w:color w:val="1A1A1A"/>
                <w:sz w:val="52"/>
                <w:szCs w:val="52"/>
              </w:rPr>
              <w:t xml:space="preserve">We analyzed 62,696 wildfire incidents from the WatchDuty dataset (2021–2025), joined with the CDC Social Vulnerability Index (SVI) at the county level, to characterize the structural nature of this gap. Our central finding is that SVI does not predict how slowly evacuation orders arrive — it predicts whether orders arrive at all. High-SVI counties have a 0.7% evacuation order rate versus 2.4% for low-SVI counties, an 18-fold state-level disparity with no meaningful convergence when orders do eventually occur.</w:t>
            </w:r>
          </w:p>
          <w:p>
            <w:pPr>
              <w:spacing w:after="120" w:before="0"/>
              <w:jc w:val="left"/>
            </w:pPr>
            <w:r>
              <w:rPr>
                <w:rFonts w:ascii="Arial" w:cs="Arial" w:eastAsia="Arial" w:hAnsi="Arial"/>
                <w:b w:val="false"/>
                <w:bCs w:val="false"/>
                <w:color w:val="1A1A1A"/>
                <w:sz w:val="52"/>
                <w:szCs w:val="52"/>
              </w:rPr>
              <w:t xml:space="preserve">In response, we built WildfireAlert: a role-based, equity-driven alert routing platform that detects fires in the pre-order window and routes actionable guidance to caregivers — the intermediaries most likely to reach mobility-impaired and cognitively vulnerable populations before conditions become life-threatening. At 65% caregiver adoption, we project 500–1,500 additional successful evacuations per year among high-SVI households.</w:t>
            </w:r>
          </w:p>
          <w:p>
            <w:pPr>
              <w:pBdr>
                <w:bottom w:val="single" w:color="2D5016" w:sz="8" w:space="4"/>
              </w:pBdr>
              <w:spacing w:after="100" w:before="200"/>
            </w:pPr>
            <w:r>
              <w:rPr>
                <w:rFonts w:ascii="Arial" w:cs="Arial" w:eastAsia="Arial" w:hAnsi="Arial"/>
                <w:b/>
                <w:bCs/>
                <w:color w:val="2D5016"/>
                <w:sz w:val="72"/>
                <w:szCs w:val="72"/>
              </w:rPr>
              <w:t xml:space="preserve">INTRODUCTION</w:t>
            </w:r>
          </w:p>
          <w:p>
            <w:pPr>
              <w:spacing w:after="80" w:before="60"/>
              <w:jc w:val="left"/>
            </w:pPr>
            <w:r>
              <w:rPr>
                <w:rFonts w:ascii="Arial" w:cs="Arial" w:eastAsia="Arial" w:hAnsi="Arial"/>
                <w:b w:val="false"/>
                <w:bCs w:val="false"/>
                <w:color w:val="1A1A1A"/>
                <w:sz w:val="52"/>
                <w:szCs w:val="52"/>
              </w:rPr>
              <w:t xml:space="preserve">Every year, fires that grow large enough to threaten lives pass silently through the US emergency alert system. Formal evacuation orders require a chain of administrative decisions that, in high-vulnerability counties, frequently never completes. Of 62,696 fire incidents analyzed in this study, only 653 (1.04%) ever generated a formal evacuation order. Of the 33,423 fires that produced external detection signals — meaning a dispatcher, satellite sensor, or news report had already flagged the fire — 99.3% still received no evacuation action.</w:t>
            </w:r>
          </w:p>
          <w:p>
            <w:pPr>
              <w:spacing w:after="100" w:before="0"/>
              <w:jc w:val="left"/>
            </w:pPr>
            <w:r>
              <w:rPr>
                <w:rFonts w:ascii="Arial" w:cs="Arial" w:eastAsia="Arial" w:hAnsi="Arial"/>
                <w:b w:val="false"/>
                <w:bCs w:val="false"/>
                <w:color w:val="1A1A1A"/>
                <w:sz w:val="52"/>
                <w:szCs w:val="52"/>
              </w:rPr>
              <w:t xml:space="preserve">The conventional assumption is that vulnerable communities receive alerts more slowly. Our analysis shows the situation is worse: they are structurally excluded from the alert chain entirely. A county's SVI score predicts whether it receives an evacuation order, not the size of the delay. This shifts the policy question from "how do we speed up alerts?" to "how do we route around a system that doesn't reach everyone?"</w:t>
            </w:r>
          </w:p>
          <w:tbl>
            <w:tblPr>
              <w:tblW w:type="dxa" w:w="32920"/>
              <w:tblBorders>
                <w:top w:val="single" w:color="auto" w:sz="4"/>
                <w:left w:val="single" w:color="auto" w:sz="4"/>
                <w:bottom w:val="single" w:color="auto" w:sz="4"/>
                <w:right w:val="single" w:color="auto" w:sz="4"/>
                <w:insideH w:val="single" w:color="auto" w:sz="4"/>
                <w:insideV w:val="single" w:color="auto" w:sz="4"/>
              </w:tblBorders>
            </w:tblPr>
            <w:tblGrid>
              <w:gridCol w:w="32920"/>
            </w:tblGrid>
            <w:tr>
              <w:tc>
                <w:tcPr>
                  <w:tcW w:type="dxa" w:w="32920"/>
                  <w:tcBorders>
                    <w:top w:val="dashed" w:color="AAAAAA" w:sz="12"/>
                    <w:left w:val="dashed" w:color="AAAAAA" w:sz="12"/>
                    <w:bottom w:val="dashed" w:color="AAAAAA" w:sz="12"/>
                    <w:right w:val="dashed" w:color="AAAAAA" w:sz="12"/>
                  </w:tcBorders>
                  <w:shd w:fill="EEEEEE" w:val="clear"/>
                  <w:tcMar>
                    <w:top w:type="dxa" w:w="400"/>
                    <w:left w:type="dxa" w:w="400"/>
                    <w:bottom w:type="dxa" w:w="400"/>
                    <w:right w:type="dxa" w:w="400"/>
                  </w:tcMar>
                  <w:vAlign w:val="center"/>
                </w:tcPr>
                <w:p>
                  <w:pPr>
                    <w:jc w:val="center"/>
                  </w:pPr>
                  <w:r>
                    <w:rPr>
                      <w:rFonts w:ascii="Arial" w:cs="Arial" w:eastAsia="Arial" w:hAnsi="Arial"/>
                      <w:b/>
                      <w:bCs/>
                      <w:color w:val="888888"/>
                      <w:sz w:val="52"/>
                      <w:szCs w:val="52"/>
                    </w:rPr>
                    <w:t xml:space="preserve">[ INSERT FIGURE 1 ]</w:t>
                  </w:r>
                </w:p>
                <w:p>
                  <w:pPr>
                    <w:spacing w:before="80"/>
                    <w:jc w:val="center"/>
                  </w:pPr>
                  <w:r>
                    <w:rPr>
                      <w:rFonts w:ascii="Arial" w:cs="Arial" w:eastAsia="Arial" w:hAnsi="Arial"/>
                      <w:color w:val="666666"/>
                      <w:sz w:val="36"/>
                      <w:szCs w:val="36"/>
                    </w:rPr>
                    <w:t xml:space="preserve">Signal-to-action funnel: 62,696 fires → 33,423 signaled → 653 ordered</w:t>
                  </w:r>
                </w:p>
              </w:tc>
            </w:tr>
          </w:tbl>
          <w:p>
            <w:pPr>
              <w:spacing w:after="140" w:before="80"/>
            </w:pPr>
            <w:r>
              <w:rPr>
                <w:rFonts w:ascii="Arial" w:cs="Arial" w:eastAsia="Arial" w:hAnsi="Arial"/>
                <w:b/>
                <w:bCs/>
                <w:color w:val="1A1A1A"/>
                <w:sz w:val="44"/>
                <w:szCs w:val="44"/>
              </w:rPr>
              <w:t xml:space="preserve">Figure 1. </w:t>
            </w:r>
            <w:r>
              <w:rPr>
                <w:rFonts w:ascii="Arial" w:cs="Arial" w:eastAsia="Arial" w:hAnsi="Arial"/>
                <w:color w:val="1A1A1A"/>
                <w:sz w:val="44"/>
                <w:szCs w:val="44"/>
              </w:rPr>
              <w:t xml:space="preserve">The signal-to-action funnel reveals that 99.3% of fires with detection signals never trigger a formal evacuation order. Create as a Figma/SmartArt funnel shape with ember-red color scheme.</w:t>
            </w:r>
          </w:p>
          <w:tbl>
            <w:tblPr>
              <w:tblW w:type="dxa" w:w="32920"/>
              <w:tblBorders>
                <w:top w:val="single" w:color="auto" w:sz="4"/>
                <w:left w:val="single" w:color="auto" w:sz="4"/>
                <w:bottom w:val="single" w:color="auto" w:sz="4"/>
                <w:right w:val="single" w:color="auto" w:sz="4"/>
                <w:insideH w:val="single" w:color="auto" w:sz="4"/>
                <w:insideV w:val="single" w:color="auto" w:sz="4"/>
              </w:tblBorders>
            </w:tblPr>
            <w:tblGrid>
              <w:gridCol w:w="32920"/>
            </w:tblGrid>
            <w:tr>
              <w:tc>
                <w:tcPr>
                  <w:tcW w:type="dxa" w:w="32920"/>
                  <w:tcBorders>
                    <w:top w:val="dashed" w:color="AAAAAA" w:sz="12"/>
                    <w:left w:val="dashed" w:color="AAAAAA" w:sz="12"/>
                    <w:bottom w:val="dashed" w:color="AAAAAA" w:sz="12"/>
                    <w:right w:val="dashed" w:color="AAAAAA" w:sz="12"/>
                  </w:tcBorders>
                  <w:shd w:fill="EEEEEE" w:val="clear"/>
                  <w:tcMar>
                    <w:top w:type="dxa" w:w="400"/>
                    <w:left w:type="dxa" w:w="400"/>
                    <w:bottom w:type="dxa" w:w="400"/>
                    <w:right w:type="dxa" w:w="400"/>
                  </w:tcMar>
                  <w:vAlign w:val="center"/>
                </w:tcPr>
                <w:p>
                  <w:pPr>
                    <w:jc w:val="center"/>
                  </w:pPr>
                  <w:r>
                    <w:rPr>
                      <w:rFonts w:ascii="Arial" w:cs="Arial" w:eastAsia="Arial" w:hAnsi="Arial"/>
                      <w:b/>
                      <w:bCs/>
                      <w:color w:val="888888"/>
                      <w:sz w:val="52"/>
                      <w:szCs w:val="52"/>
                    </w:rPr>
                    <w:t xml:space="preserve">[ INSERT FIGURE 2 ]</w:t>
                  </w:r>
                </w:p>
                <w:p>
                  <w:pPr>
                    <w:spacing w:before="80"/>
                    <w:jc w:val="center"/>
                  </w:pPr>
                  <w:r>
                    <w:rPr>
                      <w:rFonts w:ascii="Arial" w:cs="Arial" w:eastAsia="Arial" w:hAnsi="Arial"/>
                      <w:color w:val="666666"/>
                      <w:sz w:val="36"/>
                      <w:szCs w:val="36"/>
                    </w:rPr>
                    <w:t xml:space="preserve">Insert: disparity_analysis.png (archive/widsdatathon/05_visualizations/)</w:t>
                  </w:r>
                </w:p>
              </w:tc>
            </w:tr>
          </w:tbl>
          <w:p>
            <w:pPr>
              <w:spacing w:after="140" w:before="80"/>
            </w:pPr>
            <w:r>
              <w:rPr>
                <w:rFonts w:ascii="Arial" w:cs="Arial" w:eastAsia="Arial" w:hAnsi="Arial"/>
                <w:b/>
                <w:bCs/>
                <w:color w:val="1A1A1A"/>
                <w:sz w:val="44"/>
                <w:szCs w:val="44"/>
              </w:rPr>
              <w:t xml:space="preserve">Figure 2. </w:t>
            </w:r>
            <w:r>
              <w:rPr>
                <w:rFonts w:ascii="Arial" w:cs="Arial" w:eastAsia="Arial" w:hAnsi="Arial"/>
                <w:color w:val="1A1A1A"/>
                <w:sz w:val="44"/>
                <w:szCs w:val="44"/>
              </w:rPr>
              <w:t xml:space="preserve">Evacuation order rates decline monotonically with social vulnerability. High-SVI counties receive orders at one-third the rate of low-SVI counties — a structural disparity, not a timing one (High SVI: 0.7% vs Low SVI: 2.4%).</w:t>
            </w:r>
          </w:p>
        </w:tc>
        <w:tc>
          <w:tcPr>
            <w:tcW w:type="dxa" w:w="720"/>
            <w:tcBorders>
              <w:top w:val="none" w:color="FFFFFF" w:sz="0"/>
              <w:left w:val="none" w:color="FFFFFF" w:sz="0"/>
              <w:bottom w:val="none" w:color="FFFFFF" w:sz="0"/>
              <w:right w:val="single" w:color="CCCCCC" w:sz="4"/>
            </w:tcBorders>
          </w:tcPr>
          <w:p/>
        </w:tc>
        <w:tc>
          <w:tcPr>
            <w:tcW w:type="dxa" w:w="33120"/>
            <w:tcBorders>
              <w:top w:val="none" w:color="FFFFFF" w:sz="0"/>
              <w:left w:val="none" w:color="FFFFFF" w:sz="0"/>
              <w:bottom w:val="none" w:color="FFFFFF" w:sz="0"/>
              <w:right w:val="none" w:color="FFFFFF" w:sz="0"/>
            </w:tcBorders>
            <w:tcMar>
              <w:top w:type="dxa" w:w="0"/>
              <w:left w:type="dxa" w:w="300"/>
              <w:bottom w:type="dxa" w:w="0"/>
              <w:right w:type="dxa" w:w="0"/>
            </w:tcMar>
            <w:vAlign w:val="top"/>
          </w:tcPr>
          <w:p>
            <w:pPr>
              <w:pBdr>
                <w:bottom w:val="single" w:color="2D5016" w:sz="8" w:space="4"/>
              </w:pBdr>
              <w:spacing w:after="100" w:before="200"/>
            </w:pPr>
            <w:r>
              <w:rPr>
                <w:rFonts w:ascii="Arial" w:cs="Arial" w:eastAsia="Arial" w:hAnsi="Arial"/>
                <w:b/>
                <w:bCs/>
                <w:color w:val="2D5016"/>
                <w:sz w:val="72"/>
                <w:szCs w:val="72"/>
              </w:rPr>
              <w:t xml:space="preserve">DATA AND METHODS</w:t>
            </w:r>
          </w:p>
          <w:p>
            <w:pPr>
              <w:spacing w:after="80" w:before="60"/>
              <w:jc w:val="left"/>
            </w:pPr>
            <w:r>
              <w:rPr>
                <w:rFonts w:ascii="Arial" w:cs="Arial" w:eastAsia="Arial" w:hAnsi="Arial"/>
                <w:b/>
                <w:bCs/>
                <w:color w:val="1A1A1A"/>
                <w:sz w:val="52"/>
                <w:szCs w:val="52"/>
              </w:rPr>
              <w:t xml:space="preserve">Data. </w:t>
            </w:r>
            <w:r>
              <w:rPr>
                <w:rFonts w:ascii="Arial" w:cs="Arial" w:eastAsia="Arial" w:hAnsi="Arial"/>
                <w:b w:val="false"/>
                <w:bCs w:val="false"/>
                <w:color w:val="1A1A1A"/>
                <w:sz w:val="52"/>
                <w:szCs w:val="52"/>
              </w:rPr>
              <w:t xml:space="preserve">WatchDuty incident dataset (62,696 fire events, 2021–2025), 1.5 million external signal records, CDC/ATSDR Social Vulnerability Index 2022 joined at county FIPS level, NASA FIRMS satellite hotspot data, and NIFC fire perimeter polygons (6,207 approved perimeters).</w:t>
            </w:r>
          </w:p>
          <w:p>
            <w:pPr>
              <w:spacing w:after="80" w:before="0"/>
              <w:jc w:val="left"/>
            </w:pPr>
            <w:r>
              <w:rPr>
                <w:rFonts w:ascii="Arial" w:cs="Arial" w:eastAsia="Arial" w:hAnsi="Arial"/>
                <w:b/>
                <w:bCs/>
                <w:color w:val="1A1A1A"/>
                <w:sz w:val="52"/>
                <w:szCs w:val="52"/>
              </w:rPr>
              <w:t xml:space="preserve">Pipeline. </w:t>
            </w:r>
            <w:r>
              <w:rPr>
                <w:rFonts w:ascii="Arial" w:cs="Arial" w:eastAsia="Arial" w:hAnsi="Arial"/>
                <w:b w:val="false"/>
                <w:bCs w:val="false"/>
                <w:color w:val="1A1A1A"/>
                <w:sz w:val="52"/>
                <w:szCs w:val="52"/>
              </w:rPr>
              <w:t xml:space="preserve">Raw data required deduplication (124,696 → 62,696 records) and prescribed burn exclusion (17.7% of records, 11,115 fires). Delay variables computed from changelog timestamps: hours_to_order, hours_to_warning, hours_to_advisory, and signal_to_action lag. All analyses filter to is_true_wildfire = 1.</w:t>
            </w:r>
          </w:p>
          <w:p>
            <w:pPr>
              <w:spacing w:after="100" w:before="0"/>
              <w:jc w:val="left"/>
            </w:pPr>
            <w:r>
              <w:rPr>
                <w:rFonts w:ascii="Arial" w:cs="Arial" w:eastAsia="Arial" w:hAnsi="Arial"/>
                <w:b/>
                <w:bCs/>
                <w:color w:val="1A1A1A"/>
                <w:sz w:val="52"/>
                <w:szCs w:val="52"/>
              </w:rPr>
              <w:t xml:space="preserve">Methods. </w:t>
            </w:r>
            <w:r>
              <w:rPr>
                <w:rFonts w:ascii="Arial" w:cs="Arial" w:eastAsia="Arial" w:hAnsi="Arial"/>
                <w:b w:val="false"/>
                <w:bCs w:val="false"/>
                <w:color w:val="1A1A1A"/>
                <w:sz w:val="52"/>
                <w:szCs w:val="52"/>
              </w:rPr>
              <w:t xml:space="preserve">Cox Proportional Hazards modeling characterized time-to-evacuation as a function of SVI sub-themes and fire characteristics. Getis-Ord Gi* spatial autocorrelation identified county-level clusters of alert failure. XGBoost and Random Forest models predicted fire spread rate. Tools: Python, Next.js, Supabase, Anthropic Claude API.</w:t>
            </w:r>
          </w:p>
          <w:tbl>
            <w:tblPr>
              <w:tblW w:type="dxa" w:w="32920"/>
              <w:tblBorders>
                <w:top w:val="single" w:color="auto" w:sz="4"/>
                <w:left w:val="single" w:color="auto" w:sz="4"/>
                <w:bottom w:val="single" w:color="auto" w:sz="4"/>
                <w:right w:val="single" w:color="auto" w:sz="4"/>
                <w:insideH w:val="single" w:color="auto" w:sz="4"/>
                <w:insideV w:val="single" w:color="auto" w:sz="4"/>
              </w:tblBorders>
            </w:tblPr>
            <w:tblGrid>
              <w:gridCol w:w="32920"/>
            </w:tblGrid>
            <w:tr>
              <w:tc>
                <w:tcPr>
                  <w:tcW w:type="dxa" w:w="32920"/>
                  <w:tcBorders>
                    <w:top w:val="dashed" w:color="AAAAAA" w:sz="12"/>
                    <w:left w:val="dashed" w:color="AAAAAA" w:sz="12"/>
                    <w:bottom w:val="dashed" w:color="AAAAAA" w:sz="12"/>
                    <w:right w:val="dashed" w:color="AAAAAA" w:sz="12"/>
                  </w:tcBorders>
                  <w:shd w:fill="EEEEEE" w:val="clear"/>
                  <w:tcMar>
                    <w:top w:type="dxa" w:w="400"/>
                    <w:left w:type="dxa" w:w="400"/>
                    <w:bottom w:type="dxa" w:w="400"/>
                    <w:right w:type="dxa" w:w="400"/>
                  </w:tcMar>
                  <w:vAlign w:val="center"/>
                </w:tcPr>
                <w:p>
                  <w:pPr>
                    <w:jc w:val="center"/>
                  </w:pPr>
                  <w:r>
                    <w:rPr>
                      <w:rFonts w:ascii="Arial" w:cs="Arial" w:eastAsia="Arial" w:hAnsi="Arial"/>
                      <w:b/>
                      <w:bCs/>
                      <w:color w:val="888888"/>
                      <w:sz w:val="52"/>
                      <w:szCs w:val="52"/>
                    </w:rPr>
                    <w:t xml:space="preserve">[ INSERT FIGURE 3 ]</w:t>
                  </w:r>
                </w:p>
                <w:p>
                  <w:pPr>
                    <w:spacing w:before="80"/>
                    <w:jc w:val="center"/>
                  </w:pPr>
                  <w:r>
                    <w:rPr>
                      <w:rFonts w:ascii="Arial" w:cs="Arial" w:eastAsia="Arial" w:hAnsi="Arial"/>
                      <w:color w:val="666666"/>
                      <w:sz w:val="36"/>
                      <w:szCs w:val="36"/>
                    </w:rPr>
                    <w:t xml:space="preserve">Insert: feature_importance.png (archive/widsdatathon/05_visualizations/)</w:t>
                  </w:r>
                </w:p>
              </w:tc>
            </w:tr>
          </w:tbl>
          <w:p>
            <w:pPr>
              <w:spacing w:after="140" w:before="80"/>
            </w:pPr>
            <w:r>
              <w:rPr>
                <w:rFonts w:ascii="Arial" w:cs="Arial" w:eastAsia="Arial" w:hAnsi="Arial"/>
                <w:b/>
                <w:bCs/>
                <w:color w:val="1A1A1A"/>
                <w:sz w:val="44"/>
                <w:szCs w:val="44"/>
              </w:rPr>
              <w:t xml:space="preserve">Figure 3. </w:t>
            </w:r>
            <w:r>
              <w:rPr>
                <w:rFonts w:ascii="Arial" w:cs="Arial" w:eastAsia="Arial" w:hAnsi="Arial"/>
                <w:color w:val="1A1A1A"/>
                <w:sz w:val="44"/>
                <w:szCs w:val="44"/>
              </w:rPr>
              <w:t xml:space="preserve">SVI minority sub-theme (correlation r = −0.233) is the strongest predictor of evacuation alert failure, outranking fire size and growth rate. Insert feature importance bar chart from ML model output.</w:t>
            </w:r>
          </w:p>
          <w:tbl>
            <w:tblPr>
              <w:tblW w:type="dxa" w:w="32920"/>
              <w:tblBorders>
                <w:top w:val="single" w:color="auto" w:sz="4"/>
                <w:left w:val="single" w:color="auto" w:sz="4"/>
                <w:bottom w:val="single" w:color="auto" w:sz="4"/>
                <w:right w:val="single" w:color="auto" w:sz="4"/>
                <w:insideH w:val="single" w:color="auto" w:sz="4"/>
                <w:insideV w:val="single" w:color="auto" w:sz="4"/>
              </w:tblBorders>
            </w:tblPr>
            <w:tblGrid>
              <w:gridCol w:w="32920"/>
            </w:tblGrid>
            <w:tr>
              <w:tc>
                <w:tcPr>
                  <w:tcW w:type="dxa" w:w="32920"/>
                  <w:tcBorders>
                    <w:top w:val="dashed" w:color="AAAAAA" w:sz="12"/>
                    <w:left w:val="dashed" w:color="AAAAAA" w:sz="12"/>
                    <w:bottom w:val="dashed" w:color="AAAAAA" w:sz="12"/>
                    <w:right w:val="dashed" w:color="AAAAAA" w:sz="12"/>
                  </w:tcBorders>
                  <w:shd w:fill="EEEEEE" w:val="clear"/>
                  <w:tcMar>
                    <w:top w:type="dxa" w:w="400"/>
                    <w:left w:type="dxa" w:w="400"/>
                    <w:bottom w:type="dxa" w:w="400"/>
                    <w:right w:type="dxa" w:w="400"/>
                  </w:tcMar>
                  <w:vAlign w:val="center"/>
                </w:tcPr>
                <w:p>
                  <w:pPr>
                    <w:jc w:val="center"/>
                  </w:pPr>
                  <w:r>
                    <w:rPr>
                      <w:rFonts w:ascii="Arial" w:cs="Arial" w:eastAsia="Arial" w:hAnsi="Arial"/>
                      <w:b/>
                      <w:bCs/>
                      <w:color w:val="888888"/>
                      <w:sz w:val="52"/>
                      <w:szCs w:val="52"/>
                    </w:rPr>
                    <w:t xml:space="preserve">[ INSERT FIGURE 4 ]</w:t>
                  </w:r>
                </w:p>
                <w:p>
                  <w:pPr>
                    <w:spacing w:before="80"/>
                    <w:jc w:val="center"/>
                  </w:pPr>
                  <w:r>
                    <w:rPr>
                      <w:rFonts w:ascii="Arial" w:cs="Arial" w:eastAsia="Arial" w:hAnsi="Arial"/>
                      <w:color w:val="666666"/>
                      <w:sz w:val="36"/>
                      <w:szCs w:val="36"/>
                    </w:rPr>
                    <w:t xml:space="preserve">System architecture: WatchDuty | CDC SVI | NASA FIRMS → Python pipeline → Supabase → 3 roles</w:t>
                  </w:r>
                </w:p>
              </w:tc>
            </w:tr>
          </w:tbl>
          <w:p>
            <w:pPr>
              <w:spacing w:after="140" w:before="80"/>
            </w:pPr>
            <w:r>
              <w:rPr>
                <w:rFonts w:ascii="Arial" w:cs="Arial" w:eastAsia="Arial" w:hAnsi="Arial"/>
                <w:b/>
                <w:bCs/>
                <w:color w:val="1A1A1A"/>
                <w:sz w:val="44"/>
                <w:szCs w:val="44"/>
              </w:rPr>
              <w:t xml:space="preserve">Figure 4. </w:t>
            </w:r>
            <w:r>
              <w:rPr>
                <w:rFonts w:ascii="Arial" w:cs="Arial" w:eastAsia="Arial" w:hAnsi="Arial"/>
                <w:color w:val="1A1A1A"/>
                <w:sz w:val="44"/>
                <w:szCs w:val="44"/>
              </w:rPr>
              <w:t xml:space="preserve">WildfireAlert integrates three data sources through a reproducible Python pipeline into a role-aware Next.js application with embedded AI guidance. Create as Figma flow diagram.</w:t>
            </w:r>
          </w:p>
          <w:p>
            <w:pPr>
              <w:pBdr>
                <w:bottom w:val="single" w:color="2D5016" w:sz="8" w:space="4"/>
              </w:pBdr>
              <w:spacing w:after="100" w:before="200"/>
            </w:pPr>
            <w:r>
              <w:rPr>
                <w:rFonts w:ascii="Arial" w:cs="Arial" w:eastAsia="Arial" w:hAnsi="Arial"/>
                <w:b/>
                <w:bCs/>
                <w:color w:val="2D5016"/>
                <w:sz w:val="72"/>
                <w:szCs w:val="72"/>
              </w:rPr>
              <w:t xml:space="preserve">RESULTS</w:t>
            </w:r>
          </w:p>
          <w:p>
            <w:pPr>
              <w:spacing w:after="80" w:before="60"/>
              <w:jc w:val="left"/>
            </w:pPr>
            <w:r>
              <w:rPr>
                <w:rFonts w:ascii="Arial" w:cs="Arial" w:eastAsia="Arial" w:hAnsi="Arial"/>
                <w:b/>
                <w:bCs/>
                <w:color w:val="1A1A1A"/>
                <w:sz w:val="52"/>
                <w:szCs w:val="52"/>
              </w:rPr>
              <w:t xml:space="preserve">Signal gap. </w:t>
            </w:r>
            <w:r>
              <w:rPr>
                <w:rFonts w:ascii="Arial" w:cs="Arial" w:eastAsia="Arial" w:hAnsi="Arial"/>
                <w:b w:val="false"/>
                <w:bCs w:val="false"/>
                <w:color w:val="1A1A1A"/>
                <w:sz w:val="52"/>
                <w:szCs w:val="52"/>
              </w:rPr>
              <w:t xml:space="preserve">33,181 of 33,423 fires with external detection signals (99.3%) received no formal evacuation action. Counties with no internet access show a 93.2% signal gap rate vs 49.1% in well-connected counties. Single-channel alert dependency characterizes 99.7% of fire events.</w:t>
            </w:r>
          </w:p>
          <w:p>
            <w:pPr>
              <w:spacing w:after="80" w:before="0"/>
              <w:jc w:val="left"/>
            </w:pPr>
            <w:r>
              <w:rPr>
                <w:rFonts w:ascii="Arial" w:cs="Arial" w:eastAsia="Arial" w:hAnsi="Arial"/>
                <w:b/>
                <w:bCs/>
                <w:color w:val="1A1A1A"/>
                <w:sz w:val="52"/>
                <w:szCs w:val="52"/>
              </w:rPr>
              <w:t xml:space="preserve">Equity disparity. </w:t>
            </w:r>
            <w:r>
              <w:rPr>
                <w:rFonts w:ascii="Arial" w:cs="Arial" w:eastAsia="Arial" w:hAnsi="Arial"/>
                <w:b w:val="false"/>
                <w:bCs w:val="false"/>
                <w:color w:val="1A1A1A"/>
                <w:sz w:val="52"/>
                <w:szCs w:val="52"/>
              </w:rPr>
              <w:t xml:space="preserve">The 18-fold state-level disparity in evacuation order rates (New Mexico 0.1% vs Colorado 1.8%) does not narrow when controlling for fire size or growth rate. 100 fires with dispatcher-reported extreme spread received zero evacuation action; average SVI = 0.89.</w:t>
            </w:r>
          </w:p>
          <w:p>
            <w:pPr>
              <w:spacing w:after="80" w:before="0"/>
              <w:jc w:val="left"/>
            </w:pPr>
            <w:r>
              <w:rPr>
                <w:rFonts w:ascii="Arial" w:cs="Arial" w:eastAsia="Arial" w:hAnsi="Arial"/>
                <w:b/>
                <w:bCs/>
                <w:color w:val="1A1A1A"/>
                <w:sz w:val="52"/>
                <w:szCs w:val="52"/>
              </w:rPr>
              <w:t xml:space="preserve">Temporal vulnerability. </w:t>
            </w:r>
            <w:r>
              <w:rPr>
                <w:rFonts w:ascii="Arial" w:cs="Arial" w:eastAsia="Arial" w:hAnsi="Arial"/>
                <w:b w:val="false"/>
                <w:bCs w:val="false"/>
                <w:color w:val="1A1A1A"/>
                <w:sz w:val="52"/>
                <w:szCs w:val="52"/>
              </w:rPr>
              <w:t xml:space="preserve">44% of all fire detections occur between 8 PM and midnight UTC. Peak ignition hour is 9 PM (6,131 fires). Nighttime fires reach sleeping populations during the lowest-staffed response window.</w:t>
            </w:r>
          </w:p>
          <w:p>
            <w:pPr>
              <w:spacing w:after="100" w:before="0"/>
              <w:jc w:val="left"/>
            </w:pPr>
            <w:r>
              <w:rPr>
                <w:rFonts w:ascii="Arial" w:cs="Arial" w:eastAsia="Arial" w:hAnsi="Arial"/>
                <w:b/>
                <w:bCs/>
                <w:color w:val="1A1A1A"/>
                <w:sz w:val="52"/>
                <w:szCs w:val="52"/>
              </w:rPr>
              <w:t xml:space="preserve">Protocol inversions. </w:t>
            </w:r>
            <w:r>
              <w:rPr>
                <w:rFonts w:ascii="Arial" w:cs="Arial" w:eastAsia="Arial" w:hAnsi="Arial"/>
                <w:b w:val="false"/>
                <w:bCs w:val="false"/>
                <w:color w:val="1A1A1A"/>
                <w:sz w:val="52"/>
                <w:szCs w:val="52"/>
              </w:rPr>
              <w:t xml:space="preserve">In 39.5% of fires that received orders, the order was issued before the warning — bypassing 258 intermediate notifications. Average gap: 112 minutes. Oak Fire (Mariposa County, CA, SVI 0.71): orders preceded warnings by 142 minutes.</w:t>
            </w:r>
          </w:p>
          <w:tbl>
            <w:tblPr>
              <w:tblW w:type="dxa" w:w="32920"/>
              <w:tblBorders>
                <w:top w:val="single" w:color="auto" w:sz="4"/>
                <w:left w:val="single" w:color="auto" w:sz="4"/>
                <w:bottom w:val="single" w:color="auto" w:sz="4"/>
                <w:right w:val="single" w:color="auto" w:sz="4"/>
                <w:insideH w:val="single" w:color="auto" w:sz="4"/>
                <w:insideV w:val="single" w:color="auto" w:sz="4"/>
              </w:tblBorders>
            </w:tblPr>
            <w:tblGrid>
              <w:gridCol w:w="32920"/>
            </w:tblGrid>
            <w:tr>
              <w:tc>
                <w:tcPr>
                  <w:tcW w:type="dxa" w:w="32920"/>
                  <w:tcBorders>
                    <w:top w:val="dashed" w:color="AAAAAA" w:sz="12"/>
                    <w:left w:val="dashed" w:color="AAAAAA" w:sz="12"/>
                    <w:bottom w:val="dashed" w:color="AAAAAA" w:sz="12"/>
                    <w:right w:val="dashed" w:color="AAAAAA" w:sz="12"/>
                  </w:tcBorders>
                  <w:shd w:fill="EEEEEE" w:val="clear"/>
                  <w:tcMar>
                    <w:top w:type="dxa" w:w="400"/>
                    <w:left w:type="dxa" w:w="400"/>
                    <w:bottom w:type="dxa" w:w="400"/>
                    <w:right w:type="dxa" w:w="400"/>
                  </w:tcMar>
                  <w:vAlign w:val="center"/>
                </w:tcPr>
                <w:p>
                  <w:pPr>
                    <w:jc w:val="center"/>
                  </w:pPr>
                  <w:r>
                    <w:rPr>
                      <w:rFonts w:ascii="Arial" w:cs="Arial" w:eastAsia="Arial" w:hAnsi="Arial"/>
                      <w:b/>
                      <w:bCs/>
                      <w:color w:val="888888"/>
                      <w:sz w:val="52"/>
                      <w:szCs w:val="52"/>
                    </w:rPr>
                    <w:t xml:space="preserve">[ INSERT FIGURE 5 ]</w:t>
                  </w:r>
                </w:p>
                <w:p>
                  <w:pPr>
                    <w:spacing w:before="80"/>
                    <w:jc w:val="center"/>
                  </w:pPr>
                  <w:r>
                    <w:rPr>
                      <w:rFonts w:ascii="Arial" w:cs="Arial" w:eastAsia="Arial" w:hAnsi="Arial"/>
                      <w:color w:val="666666"/>
                      <w:sz w:val="36"/>
                      <w:szCs w:val="36"/>
                    </w:rPr>
                    <w:t xml:space="preserve">Insert: delays_by_state.png (archive/widsdatathon/05_visualizations/)</w:t>
                  </w:r>
                </w:p>
              </w:tc>
            </w:tr>
          </w:tbl>
          <w:p>
            <w:pPr>
              <w:spacing w:after="140" w:before="80"/>
            </w:pPr>
            <w:r>
              <w:rPr>
                <w:rFonts w:ascii="Arial" w:cs="Arial" w:eastAsia="Arial" w:hAnsi="Arial"/>
                <w:b/>
                <w:bCs/>
                <w:color w:val="1A1A1A"/>
                <w:sz w:val="44"/>
                <w:szCs w:val="44"/>
              </w:rPr>
              <w:t xml:space="preserve">Figure 5. </w:t>
            </w:r>
            <w:r>
              <w:rPr>
                <w:rFonts w:ascii="Arial" w:cs="Arial" w:eastAsia="Arial" w:hAnsi="Arial"/>
                <w:color w:val="1A1A1A"/>
                <w:sz w:val="44"/>
                <w:szCs w:val="44"/>
              </w:rPr>
              <w:t xml:space="preserve">State-level delay disparities span a 9-fold range (New Mexico 38.7h to North Dakota 2.9h). Southwestern states with high Indigenous and rural populations consistently show the longest delays.</w:t>
            </w:r>
          </w:p>
          <w:tbl>
            <w:tblPr>
              <w:tblW w:type="dxa" w:w="32920"/>
              <w:tblBorders>
                <w:top w:val="single" w:color="auto" w:sz="4"/>
                <w:left w:val="single" w:color="auto" w:sz="4"/>
                <w:bottom w:val="single" w:color="auto" w:sz="4"/>
                <w:right w:val="single" w:color="auto" w:sz="4"/>
                <w:insideH w:val="single" w:color="auto" w:sz="4"/>
                <w:insideV w:val="single" w:color="auto" w:sz="4"/>
              </w:tblBorders>
            </w:tblPr>
            <w:tblGrid>
              <w:gridCol w:w="32920"/>
            </w:tblGrid>
            <w:tr>
              <w:tc>
                <w:tcPr>
                  <w:tcW w:type="dxa" w:w="32920"/>
                  <w:tcBorders>
                    <w:top w:val="dashed" w:color="AAAAAA" w:sz="12"/>
                    <w:left w:val="dashed" w:color="AAAAAA" w:sz="12"/>
                    <w:bottom w:val="dashed" w:color="AAAAAA" w:sz="12"/>
                    <w:right w:val="dashed" w:color="AAAAAA" w:sz="12"/>
                  </w:tcBorders>
                  <w:shd w:fill="EEEEEE" w:val="clear"/>
                  <w:tcMar>
                    <w:top w:type="dxa" w:w="400"/>
                    <w:left w:type="dxa" w:w="400"/>
                    <w:bottom w:type="dxa" w:w="400"/>
                    <w:right w:type="dxa" w:w="400"/>
                  </w:tcMar>
                  <w:vAlign w:val="center"/>
                </w:tcPr>
                <w:p>
                  <w:pPr>
                    <w:jc w:val="center"/>
                  </w:pPr>
                  <w:r>
                    <w:rPr>
                      <w:rFonts w:ascii="Arial" w:cs="Arial" w:eastAsia="Arial" w:hAnsi="Arial"/>
                      <w:b/>
                      <w:bCs/>
                      <w:color w:val="888888"/>
                      <w:sz w:val="52"/>
                      <w:szCs w:val="52"/>
                    </w:rPr>
                    <w:t xml:space="preserve">[ INSERT FIGURE 6 ]</w:t>
                  </w:r>
                </w:p>
                <w:p>
                  <w:pPr>
                    <w:spacing w:before="80"/>
                    <w:jc w:val="center"/>
                  </w:pPr>
                  <w:r>
                    <w:rPr>
                      <w:rFonts w:ascii="Arial" w:cs="Arial" w:eastAsia="Arial" w:hAnsi="Arial"/>
                      <w:color w:val="666666"/>
                      <w:sz w:val="36"/>
                      <w:szCs w:val="36"/>
                    </w:rPr>
                    <w:t xml:space="preserve">Insert: vulnerability_scatter.png (archive/widsdatathon/05_visualizations/)</w:t>
                  </w:r>
                </w:p>
              </w:tc>
            </w:tr>
          </w:tbl>
          <w:p>
            <w:pPr>
              <w:spacing w:after="140" w:before="80"/>
            </w:pPr>
            <w:r>
              <w:rPr>
                <w:rFonts w:ascii="Arial" w:cs="Arial" w:eastAsia="Arial" w:hAnsi="Arial"/>
                <w:b/>
                <w:bCs/>
                <w:color w:val="1A1A1A"/>
                <w:sz w:val="44"/>
                <w:szCs w:val="44"/>
              </w:rPr>
              <w:t xml:space="preserve">Figure 6. </w:t>
            </w:r>
            <w:r>
              <w:rPr>
                <w:rFonts w:ascii="Arial" w:cs="Arial" w:eastAsia="Arial" w:hAnsi="Arial"/>
                <w:color w:val="1A1A1A"/>
                <w:sz w:val="44"/>
                <w:szCs w:val="44"/>
              </w:rPr>
              <w:t xml:space="preserve">SVI score predicts absence of evacuation orders more reliably than delay magnitude. The rightmost cluster (SVI &gt; 0.75) contains the densest concentration of no-order fires.</w:t>
            </w:r>
          </w:p>
          <w:tbl>
            <w:tblPr>
              <w:tblW w:type="dxa" w:w="32920"/>
              <w:tblBorders>
                <w:top w:val="single" w:color="auto" w:sz="4"/>
                <w:left w:val="single" w:color="auto" w:sz="4"/>
                <w:bottom w:val="single" w:color="auto" w:sz="4"/>
                <w:right w:val="single" w:color="auto" w:sz="4"/>
                <w:insideH w:val="single" w:color="auto" w:sz="4"/>
                <w:insideV w:val="single" w:color="auto" w:sz="4"/>
              </w:tblBorders>
            </w:tblPr>
            <w:tblGrid>
              <w:gridCol w:w="32920"/>
            </w:tblGrid>
            <w:tr>
              <w:tc>
                <w:tcPr>
                  <w:tcW w:type="dxa" w:w="32920"/>
                  <w:tcBorders>
                    <w:top w:val="dashed" w:color="AAAAAA" w:sz="12"/>
                    <w:left w:val="dashed" w:color="AAAAAA" w:sz="12"/>
                    <w:bottom w:val="dashed" w:color="AAAAAA" w:sz="12"/>
                    <w:right w:val="dashed" w:color="AAAAAA" w:sz="12"/>
                  </w:tcBorders>
                  <w:shd w:fill="EEEEEE" w:val="clear"/>
                  <w:tcMar>
                    <w:top w:type="dxa" w:w="400"/>
                    <w:left w:type="dxa" w:w="400"/>
                    <w:bottom w:type="dxa" w:w="400"/>
                    <w:right w:type="dxa" w:w="400"/>
                  </w:tcMar>
                  <w:vAlign w:val="center"/>
                </w:tcPr>
                <w:p>
                  <w:pPr>
                    <w:jc w:val="center"/>
                  </w:pPr>
                  <w:r>
                    <w:rPr>
                      <w:rFonts w:ascii="Arial" w:cs="Arial" w:eastAsia="Arial" w:hAnsi="Arial"/>
                      <w:b/>
                      <w:bCs/>
                      <w:color w:val="888888"/>
                      <w:sz w:val="52"/>
                      <w:szCs w:val="52"/>
                    </w:rPr>
                    <w:t xml:space="preserve">[ INSERT FIGURE 7 ]</w:t>
                  </w:r>
                </w:p>
                <w:p>
                  <w:pPr>
                    <w:spacing w:before="80"/>
                    <w:jc w:val="center"/>
                  </w:pPr>
                  <w:r>
                    <w:rPr>
                      <w:rFonts w:ascii="Arial" w:cs="Arial" w:eastAsia="Arial" w:hAnsi="Arial"/>
                      <w:color w:val="666666"/>
                      <w:sz w:val="36"/>
                      <w:szCs w:val="36"/>
                    </w:rPr>
                    <w:t xml:space="preserve">Insert: incidents_by_hour.png (archive/widsdatathon/05_visualizations/)</w:t>
                  </w:r>
                </w:p>
              </w:tc>
            </w:tr>
          </w:tbl>
          <w:p>
            <w:pPr>
              <w:spacing w:after="140" w:before="80"/>
            </w:pPr>
            <w:r>
              <w:rPr>
                <w:rFonts w:ascii="Arial" w:cs="Arial" w:eastAsia="Arial" w:hAnsi="Arial"/>
                <w:b/>
                <w:bCs/>
                <w:color w:val="1A1A1A"/>
                <w:sz w:val="44"/>
                <w:szCs w:val="44"/>
              </w:rPr>
              <w:t xml:space="preserve">Figure 7. </w:t>
            </w:r>
            <w:r>
              <w:rPr>
                <w:rFonts w:ascii="Arial" w:cs="Arial" w:eastAsia="Arial" w:hAnsi="Arial"/>
                <w:color w:val="1A1A1A"/>
                <w:sz w:val="44"/>
                <w:szCs w:val="44"/>
              </w:rPr>
              <w:t xml:space="preserve">Peak fire detection at 9 PM UTC falls in the lowest-staffed alert response window. 44% of all detections occur between 8 PM and midnight, when sleeping vulnerable populations have the least time to evacuate.</w:t>
            </w:r>
          </w:p>
        </w:tc>
      </w:tr>
    </w:tbl>
    <w:p>
      <w:pPr>
        <w:spacing w:after="0" w:before="240"/>
      </w:pPr>
    </w:p>
    <w:p>
      <w:pPr>
        <w:pBdr>
          <w:bottom w:val="single" w:color="2D5016" w:sz="8" w:space="4"/>
        </w:pBdr>
        <w:spacing w:after="100" w:before="200"/>
      </w:pPr>
      <w:r>
        <w:rPr>
          <w:rFonts w:ascii="Arial" w:cs="Arial" w:eastAsia="Arial" w:hAnsi="Arial"/>
          <w:b/>
          <w:bCs/>
          <w:color w:val="2D5016"/>
          <w:sz w:val="72"/>
          <w:szCs w:val="72"/>
        </w:rPr>
        <w:t xml:space="preserve">DISCUSSION</w:t>
      </w:r>
    </w:p>
    <w:p>
      <w:pPr>
        <w:spacing w:after="80" w:before="60"/>
        <w:jc w:val="left"/>
      </w:pPr>
      <w:r>
        <w:rPr>
          <w:rFonts w:ascii="Arial" w:cs="Arial" w:eastAsia="Arial" w:hAnsi="Arial"/>
          <w:b w:val="false"/>
          <w:bCs w:val="false"/>
          <w:color w:val="1A1A1A"/>
          <w:sz w:val="52"/>
          <w:szCs w:val="52"/>
        </w:rPr>
        <w:t xml:space="preserve">WildfireAlert reframes the evacuation alert problem from a speed problem to a routing problem. When 99.3% of fires never trigger formal orders, reducing median order time from 1.1 to 0.9 hours does little for the populations who never receive orders at all. The system's innovation is routing pre-order alerts directly to caregivers — family members, home health aides, and community organizations who can initiate evacuation for mobility-impaired or cognitively vulnerable dependents before conditions become irreversible.</w:t>
      </w:r>
    </w:p>
    <w:p>
      <w:pPr>
        <w:spacing w:after="80" w:before="0"/>
        <w:jc w:val="left"/>
      </w:pPr>
      <w:r>
        <w:rPr>
          <w:rFonts w:ascii="Arial" w:cs="Arial" w:eastAsia="Arial" w:hAnsi="Arial"/>
          <w:b w:val="false"/>
          <w:bCs w:val="false"/>
          <w:color w:val="1A1A1A"/>
          <w:sz w:val="52"/>
          <w:szCs w:val="52"/>
        </w:rPr>
        <w:t xml:space="preserve">WildfireAlert's three-role architecture (Caregiver, Emergency Responder, Data Analyst) matches alert content to the decision-making context of each actor. The caregiver interface provides person cards with mobility status, a go-bag readiness tracker, and fire staging alerts. The responder interface provides situational awareness and mutual aid coordination. The analyst interface exposes the underlying equity data to policymakers and researchers.</w:t>
      </w:r>
    </w:p>
    <w:p>
      <w:pPr>
        <w:spacing w:after="120" w:before="0"/>
        <w:jc w:val="left"/>
      </w:pPr>
      <w:r>
        <w:rPr>
          <w:rFonts w:ascii="Arial" w:cs="Arial" w:eastAsia="Arial" w:hAnsi="Arial"/>
          <w:b/>
          <w:bCs/>
          <w:color w:val="1A1A1A"/>
          <w:sz w:val="52"/>
          <w:szCs w:val="52"/>
        </w:rPr>
        <w:t xml:space="preserve">Limitations. </w:t>
      </w:r>
      <w:r>
        <w:rPr>
          <w:rFonts w:ascii="Arial" w:cs="Arial" w:eastAsia="Arial" w:hAnsi="Arial"/>
          <w:b w:val="false"/>
          <w:bCs w:val="false"/>
          <w:color w:val="1A1A1A"/>
          <w:sz w:val="52"/>
          <w:szCs w:val="52"/>
        </w:rPr>
        <w:t xml:space="preserve">The deployed application uses demo data; live integration requires a WatchDuty API key. Caregiver matching depends on self-registration. The 500–1,500 lives projection assumes 65% caregiver adoption, which has not been validated in a field study. </w:t>
      </w:r>
      <w:r>
        <w:rPr>
          <w:rFonts w:ascii="Arial" w:cs="Arial" w:eastAsia="Arial" w:hAnsi="Arial"/>
          <w:b/>
          <w:bCs/>
          <w:color w:val="1A1A1A"/>
          <w:sz w:val="52"/>
          <w:szCs w:val="52"/>
        </w:rPr>
        <w:t xml:space="preserve">Future work: </w:t>
      </w:r>
      <w:r>
        <w:rPr>
          <w:rFonts w:ascii="Arial" w:cs="Arial" w:eastAsia="Arial" w:hAnsi="Arial"/>
          <w:b w:val="false"/>
          <w:bCs w:val="false"/>
          <w:color w:val="1A1A1A"/>
          <w:sz w:val="52"/>
          <w:szCs w:val="52"/>
        </w:rPr>
        <w:t xml:space="preserve">FEMA registry matching, live WatchDuty webhooks, and multilingual SMS (i18n scaffolding already built).</w:t>
      </w:r>
    </w:p>
    <w:p>
      <w:pPr>
        <w:pBdr>
          <w:bottom w:val="single" w:color="2D5016" w:sz="8" w:space="4"/>
        </w:pBdr>
        <w:spacing w:after="80" w:before="160"/>
      </w:pPr>
      <w:r>
        <w:rPr>
          <w:rFonts w:ascii="Arial" w:cs="Arial" w:eastAsia="Arial" w:hAnsi="Arial"/>
          <w:b/>
          <w:bCs/>
          <w:color w:val="2D5016"/>
          <w:sz w:val="72"/>
          <w:szCs w:val="72"/>
        </w:rPr>
        <w:t xml:space="preserve">REFERENCES AND ACKNOWLEDGMENTS</w:t>
      </w:r>
    </w:p>
    <w:p>
      <w:pPr>
        <w:spacing w:after="40" w:before="40"/>
      </w:pPr>
      <w:r>
        <w:rPr>
          <w:rFonts w:ascii="Arial" w:cs="Arial" w:eastAsia="Arial" w:hAnsi="Arial"/>
          <w:color w:val="1A1A1A"/>
          <w:sz w:val="36"/>
          <w:szCs w:val="36"/>
        </w:rPr>
        <w:t xml:space="preserve">1. WatchDuty Incident Dataset, WiDS Datathon 2026. watchduty.org</w:t>
      </w:r>
    </w:p>
    <w:p>
      <w:pPr>
        <w:spacing w:after="40" w:before="40"/>
      </w:pPr>
      <w:r>
        <w:rPr>
          <w:rFonts w:ascii="Arial" w:cs="Arial" w:eastAsia="Arial" w:hAnsi="Arial"/>
          <w:color w:val="1A1A1A"/>
          <w:sz w:val="36"/>
          <w:szCs w:val="36"/>
        </w:rPr>
        <w:t xml:space="preserve">2. CDC/ATSDR Social Vulnerability Index 2022. atsdr.cdc.gov/placeandhealth/svi</w:t>
      </w:r>
    </w:p>
    <w:p>
      <w:pPr>
        <w:spacing w:after="40" w:before="40"/>
      </w:pPr>
      <w:r>
        <w:rPr>
          <w:rFonts w:ascii="Arial" w:cs="Arial" w:eastAsia="Arial" w:hAnsi="Arial"/>
          <w:color w:val="1A1A1A"/>
          <w:sz w:val="36"/>
          <w:szCs w:val="36"/>
        </w:rPr>
        <w:t xml:space="preserve">3. NASA FIRMS Fire Information for Resource Management System. firms.modaps.eosdis.nasa.gov</w:t>
      </w:r>
    </w:p>
    <w:p>
      <w:pPr>
        <w:spacing w:after="40" w:before="40"/>
      </w:pPr>
      <w:r>
        <w:rPr>
          <w:rFonts w:ascii="Arial" w:cs="Arial" w:eastAsia="Arial" w:hAnsi="Arial"/>
          <w:color w:val="1A1A1A"/>
          <w:sz w:val="36"/>
          <w:szCs w:val="36"/>
        </w:rPr>
        <w:t xml:space="preserve">4. NIFC National Interagency Fire Center Perimeter Data. nifc.gov</w:t>
      </w:r>
    </w:p>
    <w:p>
      <w:pPr>
        <w:spacing w:after="40" w:before="40"/>
      </w:pPr>
      <w:r>
        <w:rPr>
          <w:rFonts w:ascii="Arial" w:cs="Arial" w:eastAsia="Arial" w:hAnsi="Arial"/>
          <w:color w:val="1A1A1A"/>
          <w:sz w:val="36"/>
          <w:szCs w:val="36"/>
        </w:rPr>
        <w:t xml:space="preserve">5. Getis A, Ord JK (1992). The Analysis of Spatial Association by Use of Distance Statistics. Geographical Analysis, 24(3), 189–206.</w:t>
      </w:r>
    </w:p>
    <w:p>
      <w:pPr>
        <w:spacing w:after="40" w:before="40"/>
      </w:pPr>
      <w:r>
        <w:rPr>
          <w:rFonts w:ascii="Arial" w:cs="Arial" w:eastAsia="Arial" w:hAnsi="Arial"/>
          <w:color w:val="1A1A1A"/>
          <w:sz w:val="36"/>
          <w:szCs w:val="36"/>
        </w:rPr>
        <w:t xml:space="preserve">6. Cox DR (1972). Regression Models and Life-Tables. Journal of the Royal Statistical Society, 34(2), 187–220.</w:t>
      </w:r>
    </w:p>
    <w:p>
      <w:pPr>
        <w:spacing w:after="40" w:before="60"/>
      </w:pPr>
      <w:r>
        <w:rPr>
          <w:rFonts w:ascii="Arial" w:cs="Arial" w:eastAsia="Arial" w:hAnsi="Arial"/>
          <w:color w:val="555555"/>
          <w:sz w:val="36"/>
          <w:szCs w:val="36"/>
        </w:rPr>
        <w:t xml:space="preserve">Acknowledgments: WiDS Worldwide and Accenture Song for organizing WiDS Datathon 2026 and providing the WatchDuty dataset. WiDS Apprenticeship Program. University of North Carolina Charlotte, College of Computing and Informatics.</w:t>
      </w:r>
    </w:p>
    <w:sectPr>
      <w:pgSz w:w="69120" w:h="51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2026-04-03T00:39:29.417Z</dcterms:created>
  <dcterms:modified xsi:type="dcterms:W3CDTF">2026-04-03T00:39:29.418Z</dcterms:modified>
</cp:coreProperties>
</file>

<file path=docProps/custom.xml><?xml version="1.0" encoding="utf-8"?>
<Properties xmlns="http://schemas.openxmlformats.org/officeDocument/2006/custom-properties" xmlns:vt="http://schemas.openxmlformats.org/officeDocument/2006/docPropsVTypes"/>
</file>