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5016" w:val="clear"/>
        <w:spacing w:after="0" w:before="0"/>
        <w:jc w:val="center"/>
      </w:pPr>
      <w:r>
        <w:rPr>
          <w:rFonts w:ascii="Arial" w:cs="Arial" w:eastAsia="Arial" w:hAnsi="Arial"/>
          <w:b/>
          <w:bCs/>
          <w:caps/>
          <w:color w:val="FFFFFF"/>
          <w:sz w:val="72"/>
          <w:szCs w:val="72"/>
        </w:rPr>
        <w:t xml:space="preserve">MINUTES MATTER</w:t>
      </w:r>
    </w:p>
    <w:p>
      <w:pPr>
        <w:shd w:fill="2D5016" w:val="clear"/>
        <w:spacing w:after="0" w:before="0"/>
        <w:jc w:val="center"/>
      </w:pPr>
      <w:r>
        <w:rPr>
          <w:rFonts w:ascii="Arial" w:cs="Arial" w:eastAsia="Arial" w:hAnsi="Arial"/>
          <w:b w:val="false"/>
          <w:bCs w:val="false"/>
          <w:color w:val="FFFFFF"/>
          <w:sz w:val="34"/>
          <w:szCs w:val="34"/>
        </w:rPr>
        <w:t xml:space="preserve">An Agentic, Equity-Aware Wildfire Evacuation Platform for Faster Protective Action</w:t>
      </w:r>
    </w:p>
    <w:p>
      <w:pPr>
        <w:shd w:fill="2D5016" w:val="clear"/>
        <w:spacing w:after="0" w:before="40"/>
        <w:jc w:val="center"/>
      </w:pPr>
      <w:r>
        <w:rPr>
          <w:rFonts w:ascii="Arial" w:cs="Arial" w:eastAsia="Arial" w:hAnsi="Arial"/>
          <w:color w:val="CCCCCC"/>
          <w:sz w:val="22"/>
          <w:szCs w:val="22"/>
        </w:rPr>
        <w:t xml:space="preserve">Lena Ayesh · Katie Leedom · Anisha Nannapaneni · Nadia Narayanan   |   University of North Carolina at Charlotte · WiDS Apprenticeship Pod · 49ers Intelligence Lab</w:t>
      </w:r>
    </w:p>
    <w:p>
      <w:pPr>
        <w:shd w:fill="2D5016" w:val="clear"/>
        <w:spacing w:after="120" w:before="20"/>
        <w:jc w:val="center"/>
      </w:pPr>
      <w:r>
        <w:rPr>
          <w:rFonts w:ascii="Arial" w:cs="Arial" w:eastAsia="Arial" w:hAnsi="Arial"/>
          <w:color w:val="90A4AE"/>
          <w:sz w:val="20"/>
          <w:szCs w:val="20"/>
        </w:rPr>
        <w:t xml:space="preserve">WiDS Datathon 2026   |   Track 1: Accelerating Equitable Evacuations   |   github.com/layesh1/wildfire-app</w:t>
      </w:r>
    </w:p>
    <w:p>
      <w:pPr>
        <w:pBdr>
          <w:bottom w:val="single" w:color="BF360C" w:sz="6" w:space="2"/>
        </w:pBdr>
        <w:shd w:fill="FFF8F0" w:val="clear"/>
        <w:spacing w:after="120" w:before="40"/>
        <w:jc w:val="center"/>
      </w:pPr>
      <w:r>
        <w:rPr>
          <w:rFonts w:ascii="Arial" w:cs="Arial" w:eastAsia="Arial" w:hAnsi="Arial"/>
          <w:b/>
          <w:bCs/>
          <w:color w:val="BF360C"/>
          <w:sz w:val="52"/>
          <w:szCs w:val="52"/>
        </w:rPr>
        <w:t xml:space="preserve">62,696 </w:t>
      </w:r>
      <w:r>
        <w:rPr>
          <w:rFonts w:ascii="Arial" w:cs="Arial" w:eastAsia="Arial" w:hAnsi="Arial"/>
          <w:color w:val="37474F"/>
          <w:sz w:val="22"/>
          <w:szCs w:val="22"/>
        </w:rPr>
        <w:t xml:space="preserve">wildfire incidents 2021–2025   </w:t>
      </w:r>
      <w:r>
        <w:rPr>
          <w:rFonts w:ascii="Arial" w:cs="Arial" w:eastAsia="Arial" w:hAnsi="Arial"/>
          <w:b/>
          <w:bCs/>
          <w:color w:val="BF360C"/>
          <w:sz w:val="52"/>
          <w:szCs w:val="52"/>
        </w:rPr>
        <w:t xml:space="preserve">98.96% </w:t>
      </w:r>
      <w:r>
        <w:rPr>
          <w:rFonts w:ascii="Arial" w:cs="Arial" w:eastAsia="Arial" w:hAnsi="Arial"/>
          <w:color w:val="37474F"/>
          <w:sz w:val="22"/>
          <w:szCs w:val="22"/>
        </w:rPr>
        <w:t xml:space="preserve">no formal evacuation order   </w:t>
      </w:r>
      <w:r>
        <w:rPr>
          <w:rFonts w:ascii="Arial" w:cs="Arial" w:eastAsia="Arial" w:hAnsi="Arial"/>
          <w:b/>
          <w:bCs/>
          <w:color w:val="546E7A"/>
          <w:sz w:val="52"/>
          <w:szCs w:val="52"/>
        </w:rPr>
        <w:t xml:space="preserve">73.5% </w:t>
      </w:r>
      <w:r>
        <w:rPr>
          <w:rFonts w:ascii="Arial" w:cs="Arial" w:eastAsia="Arial" w:hAnsi="Arial"/>
          <w:color w:val="37474F"/>
          <w:sz w:val="22"/>
          <w:szCs w:val="22"/>
        </w:rPr>
        <w:t xml:space="preserve">silent — no public alert   </w:t>
      </w:r>
      <w:r>
        <w:rPr>
          <w:rFonts w:ascii="Arial" w:cs="Arial" w:eastAsia="Arial" w:hAnsi="Arial"/>
          <w:b/>
          <w:bCs/>
          <w:color w:val="2D5016"/>
          <w:sz w:val="52"/>
          <w:szCs w:val="52"/>
        </w:rPr>
        <w:t xml:space="preserve">1.1h </w:t>
      </w:r>
      <w:r>
        <w:rPr>
          <w:rFonts w:ascii="Arial" w:cs="Arial" w:eastAsia="Arial" w:hAnsi="Arial"/>
          <w:color w:val="37474F"/>
          <w:sz w:val="22"/>
          <w:szCs w:val="22"/>
        </w:rPr>
        <w:t xml:space="preserve">median delay when order IS issued (n=653)</w:t>
      </w:r>
    </w:p>
    <w:p>
      <w:pPr>
        <w:pBdr>
          <w:bottom w:val="single" w:color="2D5016" w:sz="4" w:space="2"/>
        </w:pBdr>
        <w:spacing w:after="80" w:before="180"/>
      </w:pPr>
      <w:r>
        <w:rPr>
          <w:rFonts w:ascii="Arial" w:cs="Arial" w:eastAsia="Arial" w:hAnsi="Arial"/>
          <w:b/>
          <w:bCs/>
          <w:color w:val="2D5016"/>
          <w:sz w:val="30"/>
          <w:szCs w:val="30"/>
        </w:rPr>
        <w:t xml:space="preserve">ABSTRACT</w:t>
      </w:r>
    </w:p>
    <w:p>
      <w:pPr>
        <w:spacing w:after="60" w:before="60"/>
        <w:jc w:val="left"/>
      </w:pPr>
      <w:r>
        <w:rPr>
          <w:rFonts w:ascii="Arial" w:cs="Arial" w:eastAsia="Arial" w:hAnsi="Arial"/>
          <w:b w:val="false"/>
          <w:bCs w:val="false"/>
          <w:i w:val="false"/>
          <w:iCs w:val="false"/>
          <w:color w:val="37474F"/>
          <w:sz w:val="22"/>
          <w:szCs w:val="22"/>
        </w:rPr>
        <w:t xml:space="preserve">Wildfire evacuations fail when alerts arrive late, messages lack actionable context, and vulnerable households are underrepresented in opt-in systems. WiDS Datathon 2026 Track 1 — Accelerating Equitable Evacuations — asks how to shorten the path from first credible signal to protective action while improving clarity and completion among at-risk communities. We present Minutes Matter, an operational web and mobile ecosystem that unifies WatchDuty-scale incident analytics with live operational data. The platform combines a Next.js application on Vercel, a Supabase backend with row-level security, and Flameo — a three-phase agentic AI stack powered by Anthropic Claude. Live feeds include NIFC / NASA FIRMS, FEMA National Shelter System, Open-Meteo fire weather, FEMA NRI equity layers, and curated hazard facilities for routing. We implement a two-status evacuation model (home vs. personal safety) for clearer responder rollups, Life360-style family linking, and a native SwiftUI iOS client. A companion Kaggle notebook explores feature engineering, proximity to hazards, shelter coverage, and equity metrics with XGBoost and Random Forest baselines.</w:t>
      </w:r>
    </w:p>
    <w:p>
      <w:pPr>
        <w:pBdr>
          <w:bottom w:val="single" w:color="2D5016" w:sz="4" w:space="2"/>
        </w:pBdr>
        <w:spacing w:after="80" w:before="180"/>
      </w:pPr>
      <w:r>
        <w:rPr>
          <w:rFonts w:ascii="Arial" w:cs="Arial" w:eastAsia="Arial" w:hAnsi="Arial"/>
          <w:b/>
          <w:bCs/>
          <w:color w:val="2D5016"/>
          <w:sz w:val="30"/>
          <w:szCs w:val="30"/>
        </w:rPr>
        <w:t xml:space="preserve">INTRODUCTION</w:t>
      </w:r>
    </w:p>
    <w:p>
      <w:pPr>
        <w:spacing w:after="60" w:before="60"/>
        <w:jc w:val="left"/>
      </w:pPr>
      <w:r>
        <w:rPr>
          <w:rFonts w:ascii="Arial" w:cs="Arial" w:eastAsia="Arial" w:hAnsi="Arial"/>
          <w:b w:val="false"/>
          <w:bCs w:val="false"/>
          <w:i w:val="false"/>
          <w:iCs w:val="false"/>
          <w:color w:val="37474F"/>
          <w:sz w:val="22"/>
          <w:szCs w:val="22"/>
        </w:rPr>
        <w:t xml:space="preserve">Wildfires are increasing in frequency and intensity; demand for trusted, hyperlocal intelligence spikes during major events. In the 2021–2025 WatchDuty / WiDS dataset (62,696 U.S. incidents), 73.5% had no public alert (46,053 silent events); 98.96% received no formal evacuation order. Among the 653 fires that did receive orders, the median time was 1.1 hours, but the 90th percentile reached 32.1 hours. Fires in high-SVI counties exhibited ~17% faster growth with no corresponding increase in alert rates — revealing structural exclusion rather than mere delay. WatchDuty data also shows geographic and volunteer-coverage bias, so naive risk maps can misrank counties. Track 1 challenges teams to reduce alert lag, improve message clarity, and raise evacuation completion for vulnerable groups. Minutes Matter addresses this gap with a deployable prototype fusing statistics, production APIs, maps, and AI grounded in live context.</w:t>
      </w:r>
    </w:p>
    <w:p>
      <w:pPr>
        <w:shd w:fill="37474F" w:val="clear"/>
        <w:spacing w:after="0" w:before="40"/>
        <w:jc w:val="center"/>
      </w:pPr>
      <w:r>
        <w:rPr>
          <w:rFonts w:ascii="Arial" w:cs="Arial" w:eastAsia="Arial" w:hAnsi="Arial"/>
          <w:b/>
          <w:bCs/>
          <w:color w:val="FFFFFF"/>
          <w:sz w:val="18"/>
          <w:szCs w:val="18"/>
        </w:rPr>
        <w:t xml:space="preserve">FIGURE 1</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1 PNG here — right-click → Insert Image ]</w:t>
      </w:r>
    </w:p>
    <w:p>
      <w:pPr>
        <w:spacing w:after="100" w:before="40"/>
      </w:pPr>
      <w:r>
        <w:rPr>
          <w:rFonts w:ascii="Arial" w:cs="Arial" w:eastAsia="Arial" w:hAnsi="Arial"/>
          <w:i/>
          <w:iCs/>
          <w:color w:val="37474F"/>
          <w:sz w:val="18"/>
          <w:szCs w:val="18"/>
        </w:rPr>
        <w:t xml:space="preserve">Fig. 1. The Evacuation Signal Gap. Left: 98.96% of 62,696 fires had no formal order (653 fires, 1.04%, had orders). Right: 73.5% were silent — no public alert broadcast (46,053 fires). These are two distinct metrics; use the left for order-rate claims and the right for broadcast-alert claims.</w:t>
      </w:r>
    </w:p>
    <w:p>
      <w:pPr>
        <w:shd w:fill="37474F" w:val="clear"/>
        <w:spacing w:after="0" w:before="40"/>
        <w:jc w:val="center"/>
      </w:pPr>
      <w:r>
        <w:rPr>
          <w:rFonts w:ascii="Arial" w:cs="Arial" w:eastAsia="Arial" w:hAnsi="Arial"/>
          <w:b/>
          <w:bCs/>
          <w:color w:val="FFFFFF"/>
          <w:sz w:val="18"/>
          <w:szCs w:val="18"/>
        </w:rPr>
        <w:t xml:space="preserve">FIGURE 2</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2 PNG here — right-click → Insert Image ]</w:t>
      </w:r>
    </w:p>
    <w:p>
      <w:pPr>
        <w:spacing w:after="100" w:before="40"/>
      </w:pPr>
      <w:r>
        <w:rPr>
          <w:rFonts w:ascii="Arial" w:cs="Arial" w:eastAsia="Arial" w:hAnsi="Arial"/>
          <w:i/>
          <w:iCs/>
          <w:color w:val="37474F"/>
          <w:sz w:val="18"/>
          <w:szCs w:val="18"/>
        </w:rPr>
        <w:t xml:space="preserve">Fig. 2. When Wildfires Start: Radial fire clock (62,696 incidents). Peak: 9 PM (21:00), with 6,131 incidents. Fires surge after 6 PM when families are asleep — driving the 24/7 push-alert design of Minutes Matter.</w:t>
      </w:r>
    </w:p>
    <w:p>
      <w:pPr>
        <w:pBdr>
          <w:bottom w:val="single" w:color="2D5016" w:sz="4" w:space="2"/>
        </w:pBdr>
        <w:spacing w:after="80" w:before="180"/>
      </w:pPr>
      <w:r>
        <w:rPr>
          <w:rFonts w:ascii="Arial" w:cs="Arial" w:eastAsia="Arial" w:hAnsi="Arial"/>
          <w:b/>
          <w:bCs/>
          <w:color w:val="2D5016"/>
          <w:sz w:val="30"/>
          <w:szCs w:val="30"/>
        </w:rPr>
        <w:t xml:space="preserve">DATA SOURCES</w:t>
      </w:r>
    </w:p>
    <w:p>
      <w:pPr>
        <w:spacing w:after="60" w:before="60"/>
        <w:jc w:val="left"/>
      </w:pPr>
      <w:r>
        <w:rPr>
          <w:rFonts w:ascii="Arial" w:cs="Arial" w:eastAsia="Arial" w:hAnsi="Arial"/>
          <w:b w:val="false"/>
          <w:bCs w:val="false"/>
          <w:i w:val="false"/>
          <w:iCs w:val="false"/>
          <w:color w:val="37474F"/>
          <w:sz w:val="22"/>
          <w:szCs w:val="22"/>
        </w:rPr>
        <w:t xml:space="preserve">Eight data streams feed the platform. The WatchDuty / WiDS tabular dataset (62,696 incidents) is the primary analytic source. Live operational data is pulled via API proxies at runtime.</w:t>
      </w:r>
    </w:p>
    <w:p>
      <w:pPr>
        <w:spacing w:after="40" w:before="80"/>
      </w:pPr>
      <w:r>
        <w:rPr>
          <w:rFonts w:ascii="Arial" w:cs="Arial" w:eastAsia="Arial" w:hAnsi="Arial"/>
          <w:b/>
          <w:bCs/>
          <w:i/>
          <w:iCs/>
          <w:color w:val="37474F"/>
          <w:sz w:val="20"/>
          <w:szCs w:val="20"/>
        </w:rPr>
        <w:t xml:space="preserve">Table 1. Data sources integrated in Minutes Matter.</w:t>
      </w:r>
    </w:p>
    <w:tbl>
      <w:tblPr>
        <w:tblW w:type="dxa" w:w="44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gridCol w:w="10200"/>
      </w:tblGrid>
      <w:tr>
        <w:tc>
          <w:tcPr>
            <w:tcW w:type="dxa" w:w="20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0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102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r>
      <w:tr>
        <w:tc>
          <w:tcPr>
            <w:tcW w:type="dxa" w:w="2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1</w:t>
            </w:r>
          </w:p>
        </w:tc>
        <w:tc>
          <w:tcPr>
            <w:tcW w:type="dxa" w:w="8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WatchDuty / WiDS Dataset</w:t>
            </w:r>
          </w:p>
        </w:tc>
        <w:tc>
          <w:tcPr>
            <w:tcW w:type="dxa" w:w="10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Primary tabular incidents &amp; labels (notebook)</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2</w:t>
            </w:r>
          </w:p>
        </w:tc>
        <w:tc>
          <w:tcPr>
            <w:tcW w:type="dxa" w:w="8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NASA FIRMS (VIIRS)</w:t>
            </w:r>
          </w:p>
        </w:tc>
        <w:tc>
          <w:tcPr>
            <w:tcW w:type="dxa" w:w="10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Live satellite hotspots (/api/fires/firms)</w:t>
            </w:r>
          </w:p>
        </w:tc>
      </w:tr>
      <w:tr>
        <w:tc>
          <w:tcPr>
            <w:tcW w:type="dxa" w:w="2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3</w:t>
            </w:r>
          </w:p>
        </w:tc>
        <w:tc>
          <w:tcPr>
            <w:tcW w:type="dxa" w:w="8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NIFC (EGP / WFIGS)</w:t>
            </w:r>
          </w:p>
        </w:tc>
        <w:tc>
          <w:tcPr>
            <w:tcW w:type="dxa" w:w="10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Active incidents (/api/active-fires, /api/fires/nifc)</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4</w:t>
            </w:r>
          </w:p>
        </w:tc>
        <w:tc>
          <w:tcPr>
            <w:tcW w:type="dxa" w:w="8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FEMA NSS</w:t>
            </w:r>
          </w:p>
        </w:tc>
        <w:tc>
          <w:tcPr>
            <w:tcW w:type="dxa" w:w="10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Open shelters (/api/shelters/live)</w:t>
            </w:r>
          </w:p>
        </w:tc>
      </w:tr>
      <w:tr>
        <w:tc>
          <w:tcPr>
            <w:tcW w:type="dxa" w:w="2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5</w:t>
            </w:r>
          </w:p>
        </w:tc>
        <w:tc>
          <w:tcPr>
            <w:tcW w:type="dxa" w:w="8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FEMA NRI</w:t>
            </w:r>
          </w:p>
        </w:tc>
        <w:tc>
          <w:tcPr>
            <w:tcW w:type="dxa" w:w="10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County wildfire risk &amp; SVI (/api/nri)</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6</w:t>
            </w:r>
          </w:p>
        </w:tc>
        <w:tc>
          <w:tcPr>
            <w:tcW w:type="dxa" w:w="8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Open-Meteo</w:t>
            </w:r>
          </w:p>
        </w:tc>
        <w:tc>
          <w:tcPr>
            <w:tcW w:type="dxa" w:w="10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Weather &amp; fire-weather heuristics (/api/weather)</w:t>
            </w:r>
          </w:p>
        </w:tc>
      </w:tr>
      <w:tr>
        <w:tc>
          <w:tcPr>
            <w:tcW w:type="dxa" w:w="2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7</w:t>
            </w:r>
          </w:p>
        </w:tc>
        <w:tc>
          <w:tcPr>
            <w:tcW w:type="dxa" w:w="80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Hazard Facilities (30 sites)</w:t>
            </w:r>
          </w:p>
        </w:tc>
        <w:tc>
          <w:tcPr>
            <w:tcW w:type="dxa" w:w="10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Nuclear / chemical / LNG routing &amp; context</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8</w:t>
            </w:r>
          </w:p>
        </w:tc>
        <w:tc>
          <w:tcPr>
            <w:tcW w:type="dxa" w:w="8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Google Places / Routes</w:t>
            </w:r>
          </w:p>
        </w:tc>
        <w:tc>
          <w:tcPr>
            <w:tcW w:type="dxa" w:w="10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Geocoding &amp; hazard-aware shelter routing</w:t>
            </w:r>
          </w:p>
        </w:tc>
      </w:tr>
    </w:tbl>
    <w:p>
      <w:pPr>
        <w:spacing w:after="0" w:before="100"/>
      </w:pPr>
    </w:p>
    <w:p>
      <w:pPr>
        <w:pBdr>
          <w:bottom w:val="single" w:color="2D5016" w:sz="4" w:space="2"/>
        </w:pBdr>
        <w:spacing w:after="80" w:before="180"/>
      </w:pPr>
      <w:r>
        <w:rPr>
          <w:rFonts w:ascii="Arial" w:cs="Arial" w:eastAsia="Arial" w:hAnsi="Arial"/>
          <w:b/>
          <w:bCs/>
          <w:color w:val="2D5016"/>
          <w:sz w:val="30"/>
          <w:szCs w:val="30"/>
        </w:rPr>
        <w:t xml:space="preserve">STATISTICAL METHODS</w:t>
      </w:r>
    </w:p>
    <w:p>
      <w:pPr>
        <w:spacing w:after="60" w:before="60"/>
        <w:jc w:val="left"/>
      </w:pPr>
      <w:r>
        <w:rPr>
          <w:rFonts w:ascii="Arial" w:cs="Arial" w:eastAsia="Arial" w:hAnsi="Arial"/>
          <w:b w:val="false"/>
          <w:bCs w:val="false"/>
          <w:i w:val="false"/>
          <w:iCs w:val="false"/>
          <w:color w:val="37474F"/>
          <w:sz w:val="22"/>
          <w:szCs w:val="22"/>
        </w:rPr>
        <w:t xml:space="preserve">All analyses were conducted in Python (pandas, NumPy, scikit-learn, XGBoost, SHAP, scipy) via a reproducible Kaggle notebook. The table below summarises every method applied.</w:t>
      </w:r>
    </w:p>
    <w:p>
      <w:pPr>
        <w:spacing w:after="40" w:before="80"/>
      </w:pPr>
      <w:r>
        <w:rPr>
          <w:rFonts w:ascii="Arial" w:cs="Arial" w:eastAsia="Arial" w:hAnsi="Arial"/>
          <w:b/>
          <w:bCs/>
          <w:i/>
          <w:iCs/>
          <w:color w:val="37474F"/>
          <w:sz w:val="20"/>
          <w:szCs w:val="20"/>
        </w:rPr>
        <w:t xml:space="preserve">Table 2. Statistical and machine-learning methods applied.</w:t>
      </w:r>
    </w:p>
    <w:tbl>
      <w:tblPr>
        <w:tblW w:type="dxa" w:w="44400"/>
        <w:tblBorders>
          <w:top w:val="single" w:color="auto" w:sz="4"/>
          <w:left w:val="single" w:color="auto" w:sz="4"/>
          <w:bottom w:val="single" w:color="auto" w:sz="4"/>
          <w:right w:val="single" w:color="auto" w:sz="4"/>
          <w:insideH w:val="single" w:color="auto" w:sz="4"/>
          <w:insideV w:val="single" w:color="auto" w:sz="4"/>
        </w:tblBorders>
      </w:tblPr>
      <w:tblGrid>
        <w:gridCol w:w="7000"/>
        <w:gridCol w:w="13200"/>
      </w:tblGrid>
      <w:tr>
        <w:tc>
          <w:tcPr>
            <w:tcW w:type="dxa" w:w="70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132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Application</w:t>
            </w:r>
          </w:p>
        </w:tc>
      </w:tr>
      <w:tr>
        <w:tc>
          <w:tcPr>
            <w:tcW w:type="dxa" w:w="7000"/>
            <w:tcBorders>
              <w:top w:val="single" w:color="BBBBBB" w:sz="2"/>
              <w:left w:val="single" w:color="BBBBBB" w:sz="2"/>
              <w:bottom w:val="single" w:color="BBBBBB" w:sz="2"/>
              <w:right w:val="single" w:color="BBBBBB" w:sz="2"/>
            </w:tcBorders>
            <w:shd w:fill="E8F5E9"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Descriptive statistics</w:t>
            </w:r>
          </w:p>
        </w:tc>
        <w:tc>
          <w:tcPr>
            <w:tcW w:type="dxa" w:w="13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Frequency distributions, medians, percentiles (90th) for alert delay and silent-rate across 62,696 incidents</w:t>
            </w:r>
          </w:p>
        </w:tc>
      </w:tr>
      <w:tr>
        <w:tc>
          <w:tcPr>
            <w:tcW w:type="dxa" w:w="7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Keyword / NLP analysis</w:t>
            </w:r>
          </w:p>
        </w:tc>
        <w:tc>
          <w:tcPr>
            <w:tcW w:type="dxa" w:w="13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Regex pattern matching + Counter frequency comparison; keyword rates between evacuated vs. non-evacuated fires</w:t>
            </w:r>
          </w:p>
        </w:tc>
      </w:tr>
      <w:tr>
        <w:tc>
          <w:tcPr>
            <w:tcW w:type="dxa" w:w="7000"/>
            <w:tcBorders>
              <w:top w:val="single" w:color="BBBBBB" w:sz="2"/>
              <w:left w:val="single" w:color="BBBBBB" w:sz="2"/>
              <w:bottom w:val="single" w:color="BBBBBB" w:sz="2"/>
              <w:right w:val="single" w:color="BBBBBB" w:sz="2"/>
            </w:tcBorders>
            <w:shd w:fill="E8F5E9"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Spatial nearest-neighbor</w:t>
            </w:r>
          </w:p>
        </w:tc>
        <w:tc>
          <w:tcPr>
            <w:tcW w:type="dxa" w:w="13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scipy.spatial.cKDTree for fire-to-zone linkage; haversine distance for proximity features</w:t>
            </w:r>
          </w:p>
        </w:tc>
      </w:tr>
      <w:tr>
        <w:tc>
          <w:tcPr>
            <w:tcW w:type="dxa" w:w="7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XGBoost Regressor</w:t>
            </w:r>
          </w:p>
        </w:tc>
        <w:tc>
          <w:tcPr>
            <w:tcW w:type="dxa" w:w="13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Primary model for evacuation delay prediction (hours_to_order); GradientBoosting fallback; MAE and R2 on 80/20 split</w:t>
            </w:r>
          </w:p>
        </w:tc>
      </w:tr>
      <w:tr>
        <w:tc>
          <w:tcPr>
            <w:tcW w:type="dxa" w:w="7000"/>
            <w:tcBorders>
              <w:top w:val="single" w:color="BBBBBB" w:sz="2"/>
              <w:left w:val="single" w:color="BBBBBB" w:sz="2"/>
              <w:bottom w:val="single" w:color="BBBBBB" w:sz="2"/>
              <w:right w:val="single" w:color="BBBBBB" w:sz="2"/>
            </w:tcBorders>
            <w:shd w:fill="E8F5E9"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Random Forest Classifier</w:t>
            </w:r>
          </w:p>
        </w:tc>
        <w:tc>
          <w:tcPr>
            <w:tcW w:type="dxa" w:w="13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Binary fire escalation prediction (growth rate &gt; 100 ac/hr); class-balanced; precision, recall, F1 reported</w:t>
            </w:r>
          </w:p>
        </w:tc>
      </w:tr>
      <w:tr>
        <w:tc>
          <w:tcPr>
            <w:tcW w:type="dxa" w:w="7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SHAP</w:t>
            </w:r>
          </w:p>
        </w:tc>
        <w:tc>
          <w:tcPr>
            <w:tcW w:type="dxa" w:w="13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SHapley Additive exPlanations for model interpretability — top features: disability rate, age 65+, SVI, poverty, no vehicle</w:t>
            </w:r>
          </w:p>
        </w:tc>
      </w:tr>
      <w:tr>
        <w:tc>
          <w:tcPr>
            <w:tcW w:type="dxa" w:w="7000"/>
            <w:tcBorders>
              <w:top w:val="single" w:color="BBBBBB" w:sz="2"/>
              <w:left w:val="single" w:color="BBBBBB" w:sz="2"/>
              <w:bottom w:val="single" w:color="BBBBBB" w:sz="2"/>
              <w:right w:val="single" w:color="BBBBBB" w:sz="2"/>
            </w:tcBorders>
            <w:shd w:fill="E8F5E9"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Feature engineering</w:t>
            </w:r>
          </w:p>
        </w:tc>
        <w:tc>
          <w:tcPr>
            <w:tcW w:type="dxa" w:w="13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log(acres), growth rate, fire season encoding, high-SVI flag (SVI &gt;= 0.75), geographic region indicators</w:t>
            </w:r>
          </w:p>
        </w:tc>
      </w:tr>
      <w:tr>
        <w:tc>
          <w:tcPr>
            <w:tcW w:type="dxa" w:w="7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SVI stratification</w:t>
            </w:r>
          </w:p>
        </w:tc>
        <w:tc>
          <w:tcPr>
            <w:tcW w:type="dxa" w:w="13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CDC SVI RPL_THEMES threshold (&gt;0.70) to compare order rates and delay distributions between vulnerability tiers</w:t>
            </w:r>
          </w:p>
        </w:tc>
      </w:tr>
      <w:tr>
        <w:tc>
          <w:tcPr>
            <w:tcW w:type="dxa" w:w="7000"/>
            <w:tcBorders>
              <w:top w:val="single" w:color="BBBBBB" w:sz="2"/>
              <w:left w:val="single" w:color="BBBBBB" w:sz="2"/>
              <w:bottom w:val="single" w:color="BBBBBB" w:sz="2"/>
              <w:right w:val="single" w:color="BBBBBB" w:sz="2"/>
            </w:tcBorders>
            <w:shd w:fill="E8F5E9"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5-fold cross-validation</w:t>
            </w:r>
          </w:p>
        </w:tc>
        <w:tc>
          <w:tcPr>
            <w:tcW w:type="dxa" w:w="13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Cross-validated MAE for delay regressor; stratified split for escalation classifier</w:t>
            </w:r>
          </w:p>
        </w:tc>
      </w:tr>
    </w:tbl>
    <w:p>
      <w:pPr>
        <w:spacing w:after="0" w:before="100"/>
      </w:pPr>
    </w:p>
    <w:p>
      <w:pPr>
        <w:pBdr>
          <w:bottom w:val="single" w:color="2D5016" w:sz="4" w:space="2"/>
        </w:pBdr>
        <w:spacing w:after="80" w:before="180"/>
      </w:pPr>
      <w:r>
        <w:rPr>
          <w:rFonts w:ascii="Arial" w:cs="Arial" w:eastAsia="Arial" w:hAnsi="Arial"/>
          <w:b/>
          <w:bCs/>
          <w:color w:val="2D5016"/>
          <w:sz w:val="30"/>
          <w:szCs w:val="30"/>
        </w:rPr>
        <w:t xml:space="preserve">SYSTEM ARCHITECTURE</w:t>
      </w:r>
    </w:p>
    <w:p>
      <w:pPr>
        <w:spacing w:after="60" w:before="60"/>
        <w:jc w:val="left"/>
      </w:pPr>
      <w:r>
        <w:rPr>
          <w:rFonts w:ascii="Arial" w:cs="Arial" w:eastAsia="Arial" w:hAnsi="Arial"/>
          <w:b w:val="false"/>
          <w:bCs w:val="false"/>
          <w:i w:val="false"/>
          <w:iCs w:val="false"/>
          <w:color w:val="37474F"/>
          <w:sz w:val="22"/>
          <w:szCs w:val="22"/>
        </w:rPr>
        <w:t xml:space="preserve">Three data inputs (WatchDuty incidents, NASA FIRMS satellite hotspots, CDC SVI equity layer) feed into the Flameo AI engine (Anthropic Claude API). Flameo operates in three phases: (A) structured JSON context assembly without LLM; (B) proactive situational briefing; (C) grounded chat with guardrails and COMMAND mode for responders. Outputs reach three surfaces: Caregiver Dashboard, Evacuee Mobile App, and Responder Command View.</w:t>
      </w:r>
    </w:p>
    <w:p>
      <w:pPr>
        <w:shd w:fill="37474F" w:val="clear"/>
        <w:spacing w:after="0" w:before="40"/>
        <w:jc w:val="center"/>
      </w:pPr>
      <w:r>
        <w:rPr>
          <w:rFonts w:ascii="Arial" w:cs="Arial" w:eastAsia="Arial" w:hAnsi="Arial"/>
          <w:b/>
          <w:bCs/>
          <w:color w:val="FFFFFF"/>
          <w:sz w:val="18"/>
          <w:szCs w:val="18"/>
        </w:rPr>
        <w:t xml:space="preserve">FIGURE 3</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3 PNG here — right-click → Insert Image ]</w:t>
      </w:r>
    </w:p>
    <w:p>
      <w:pPr>
        <w:spacing w:after="100" w:before="40"/>
      </w:pPr>
      <w:r>
        <w:rPr>
          <w:rFonts w:ascii="Arial" w:cs="Arial" w:eastAsia="Arial" w:hAnsi="Arial"/>
          <w:i/>
          <w:iCs/>
          <w:color w:val="37474F"/>
          <w:sz w:val="18"/>
          <w:szCs w:val="18"/>
        </w:rPr>
        <w:t xml:space="preserve">Fig. 3. Minutes Matter system architecture. Data pipeline: WatchDuty + NASA FIRMS + CDC SVI → Flameo AI Engine (Anthropic Claude) → Caregiver Dashboard, Evacuee Mobile, Responder Command → +2h lead time for vulnerable households.</w:t>
      </w:r>
    </w:p>
    <w:p>
      <w:pPr>
        <w:shd w:fill="37474F" w:val="clear"/>
        <w:spacing w:after="0" w:before="40"/>
        <w:jc w:val="center"/>
      </w:pPr>
      <w:r>
        <w:rPr>
          <w:rFonts w:ascii="Arial" w:cs="Arial" w:eastAsia="Arial" w:hAnsi="Arial"/>
          <w:b/>
          <w:bCs/>
          <w:color w:val="FFFFFF"/>
          <w:sz w:val="18"/>
          <w:szCs w:val="18"/>
        </w:rPr>
        <w:t xml:space="preserve">FIGURE 4</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4 PNG here — right-click → Insert Image ]</w:t>
      </w:r>
    </w:p>
    <w:p>
      <w:pPr>
        <w:spacing w:after="100" w:before="40"/>
      </w:pPr>
      <w:r>
        <w:rPr>
          <w:rFonts w:ascii="Arial" w:cs="Arial" w:eastAsia="Arial" w:hAnsi="Arial"/>
          <w:i/>
          <w:iCs/>
          <w:color w:val="37474F"/>
          <w:sz w:val="18"/>
          <w:szCs w:val="18"/>
        </w:rPr>
        <w:t xml:space="preserve">Fig. 4. WildfireAlert closes the alert gap. Timeline: fire ignition (0h) → FIRMS detection (+1.1h) → Minutes Matter alerts (+2h) → current system alerts (+5.5h) → formal order issued (+11.1h median). Preventable gap shaded.</w:t>
      </w:r>
    </w:p>
    <w:p>
      <w:pPr>
        <w:pBdr>
          <w:bottom w:val="single" w:color="2D5016" w:sz="4" w:space="2"/>
        </w:pBdr>
        <w:spacing w:after="80" w:before="180"/>
      </w:pPr>
      <w:r>
        <w:rPr>
          <w:rFonts w:ascii="Arial" w:cs="Arial" w:eastAsia="Arial" w:hAnsi="Arial"/>
          <w:b/>
          <w:bCs/>
          <w:color w:val="2D5016"/>
          <w:sz w:val="30"/>
          <w:szCs w:val="30"/>
        </w:rPr>
        <w:t xml:space="preserve">RESULTS</w:t>
      </w:r>
    </w:p>
    <w:p>
      <w:pPr>
        <w:spacing w:after="60" w:before="60"/>
        <w:jc w:val="left"/>
      </w:pPr>
      <w:r>
        <w:rPr>
          <w:rFonts w:ascii="Arial" w:cs="Arial" w:eastAsia="Arial" w:hAnsi="Arial"/>
          <w:b w:val="false"/>
          <w:bCs w:val="false"/>
          <w:i w:val="false"/>
          <w:iCs w:val="false"/>
          <w:color w:val="37474F"/>
          <w:sz w:val="22"/>
          <w:szCs w:val="22"/>
        </w:rPr>
        <w:t xml:space="preserve">Empirical alert-chain analysis (62,696 fires, 2021–2025): 98.96% received no formal evacuation order; 73.5% received no public alert broadcast. Among 298 extreme-spread fires, 211 (70.8%) had no evacuation action. High-SVI counties (SVI &gt; 0.70) showed a 0.7% evacuation-order rate vs. 2.4% in lower-SVI counties (SVI &lt; 0.55) — a 3.4× equity gap consistent with structural exclusion, not only delay. Named examples from the hidden-danger analysis: Antelope Fire (CA, SVI 0.85, 145,120 acres, extreme spread, zero action) and Cedar Creek Fire (OR, SVI 0.89, 127,165 acres, extreme spread, zero action). Protocol inversions were identified in 10 named California/Oregon fires where high-SVI zones were alerted last, with gaps up to 142 minutes (Oak Fire, Mariposa County).</w:t>
      </w:r>
    </w:p>
    <w:p>
      <w:pPr>
        <w:spacing w:after="40" w:before="80"/>
      </w:pPr>
      <w:r>
        <w:rPr>
          <w:rFonts w:ascii="Arial" w:cs="Arial" w:eastAsia="Arial" w:hAnsi="Arial"/>
          <w:b/>
          <w:bCs/>
          <w:i/>
          <w:iCs/>
          <w:color w:val="37474F"/>
          <w:sz w:val="20"/>
          <w:szCs w:val="20"/>
        </w:rPr>
        <w:t xml:space="preserve">Table 3. Key quantitative results and product demonstrations.</w:t>
      </w:r>
    </w:p>
    <w:tbl>
      <w:tblPr>
        <w:tblW w:type="dxa" w:w="44400"/>
        <w:tblBorders>
          <w:top w:val="single" w:color="auto" w:sz="4"/>
          <w:left w:val="single" w:color="auto" w:sz="4"/>
          <w:bottom w:val="single" w:color="auto" w:sz="4"/>
          <w:right w:val="single" w:color="auto" w:sz="4"/>
          <w:insideH w:val="single" w:color="auto" w:sz="4"/>
          <w:insideV w:val="single" w:color="auto" w:sz="4"/>
        </w:tblBorders>
      </w:tblPr>
      <w:tblGrid>
        <w:gridCol w:w="9000"/>
        <w:gridCol w:w="11200"/>
      </w:tblGrid>
      <w:tr>
        <w:tc>
          <w:tcPr>
            <w:tcW w:type="dxa" w:w="90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Theme</w:t>
            </w:r>
          </w:p>
        </w:tc>
        <w:tc>
          <w:tcPr>
            <w:tcW w:type="dxa" w:w="11200"/>
            <w:tcBorders>
              <w:top w:val="single" w:color="BBBBBB" w:sz="2"/>
              <w:left w:val="single" w:color="BBBBBB" w:sz="2"/>
              <w:bottom w:val="single" w:color="BBBBBB" w:sz="2"/>
              <w:right w:val="single" w:color="BBBBBB" w:sz="2"/>
            </w:tcBorders>
            <w:shd w:fill="2D501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 / Demonstration</w:t>
            </w:r>
          </w:p>
        </w:tc>
      </w:tr>
      <w:tr>
        <w:tc>
          <w:tcPr>
            <w:tcW w:type="dxa" w:w="9000"/>
            <w:tcBorders>
              <w:top w:val="single" w:color="BBBBBB" w:sz="2"/>
              <w:left w:val="single" w:color="BBBBBB" w:sz="2"/>
              <w:bottom w:val="single" w:color="BBBBBB" w:sz="2"/>
              <w:right w:val="single" w:color="BBBBBB" w:sz="2"/>
            </w:tcBorders>
            <w:shd w:fill="FFF3E0"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Signal gap</w:t>
            </w:r>
          </w:p>
        </w:tc>
        <w:tc>
          <w:tcPr>
            <w:tcW w:type="dxa" w:w="11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73.5% no public alert; 98.96% no formal order (62,696 fires, 2021-2025)</w:t>
            </w:r>
          </w:p>
        </w:tc>
      </w:tr>
      <w:tr>
        <w:tc>
          <w:tcPr>
            <w:tcW w:type="dxa" w:w="9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Equity</w:t>
            </w:r>
          </w:p>
        </w:tc>
        <w:tc>
          <w:tcPr>
            <w:tcW w:type="dxa" w:w="11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3.4x order-rate gap high- vs. lower-SVI counties; +17% faster growth in vulnerable counties</w:t>
            </w:r>
          </w:p>
        </w:tc>
      </w:tr>
      <w:tr>
        <w:tc>
          <w:tcPr>
            <w:tcW w:type="dxa" w:w="9000"/>
            <w:tcBorders>
              <w:top w:val="single" w:color="BBBBBB" w:sz="2"/>
              <w:left w:val="single" w:color="BBBBBB" w:sz="2"/>
              <w:bottom w:val="single" w:color="BBBBBB" w:sz="2"/>
              <w:right w:val="single" w:color="BBBBBB" w:sz="2"/>
            </w:tcBorders>
            <w:shd w:fill="FFF3E0"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Extreme fires</w:t>
            </w:r>
          </w:p>
        </w:tc>
        <w:tc>
          <w:tcPr>
            <w:tcW w:type="dxa" w:w="11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70.8% of extreme-spread fires received no evacuation action (298 fires)</w:t>
            </w:r>
          </w:p>
        </w:tc>
      </w:tr>
      <w:tr>
        <w:tc>
          <w:tcPr>
            <w:tcW w:type="dxa" w:w="9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Hidden danger</w:t>
            </w:r>
          </w:p>
        </w:tc>
        <w:tc>
          <w:tcPr>
            <w:tcW w:type="dxa" w:w="11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Named fires: Antelope (145,120 ac, SVI 0.85), Cedar Creek (127,165 ac, SVI 0.89) — zero action</w:t>
            </w:r>
          </w:p>
        </w:tc>
      </w:tr>
      <w:tr>
        <w:tc>
          <w:tcPr>
            <w:tcW w:type="dxa" w:w="9000"/>
            <w:tcBorders>
              <w:top w:val="single" w:color="BBBBBB" w:sz="2"/>
              <w:left w:val="single" w:color="BBBBBB" w:sz="2"/>
              <w:bottom w:val="single" w:color="BBBBBB" w:sz="2"/>
              <w:right w:val="single" w:color="BBBBBB" w:sz="2"/>
            </w:tcBorders>
            <w:shd w:fill="FFF3E0"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ML model</w:t>
            </w:r>
          </w:p>
        </w:tc>
        <w:tc>
          <w:tcPr>
            <w:tcW w:type="dxa" w:w="11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XGBoost regressor (MAE reported); Random Forest classifier for escalation (precision/recall/F1)</w:t>
            </w:r>
          </w:p>
        </w:tc>
      </w:tr>
      <w:tr>
        <w:tc>
          <w:tcPr>
            <w:tcW w:type="dxa" w:w="9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Flameo / routing</w:t>
            </w:r>
          </w:p>
        </w:tc>
        <w:tc>
          <w:tcPr>
            <w:tcW w:type="dxa" w:w="11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Phase A JSON context; shelter routes with hazard-buffer awareness (Google Routes)</w:t>
            </w:r>
          </w:p>
        </w:tc>
      </w:tr>
      <w:tr>
        <w:tc>
          <w:tcPr>
            <w:tcW w:type="dxa" w:w="9000"/>
            <w:tcBorders>
              <w:top w:val="single" w:color="BBBBBB" w:sz="2"/>
              <w:left w:val="single" w:color="BBBBBB" w:sz="2"/>
              <w:bottom w:val="single" w:color="BBBBBB" w:sz="2"/>
              <w:right w:val="single" w:color="BBBBBB" w:sz="2"/>
            </w:tcBorders>
            <w:shd w:fill="FFF3E0"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Responder rollup</w:t>
            </w:r>
          </w:p>
        </w:tc>
        <w:tc>
          <w:tcPr>
            <w:tcW w:type="dxa" w:w="11200"/>
            <w:tcBorders>
              <w:top w:val="single" w:color="BBBBBB" w:sz="2"/>
              <w:left w:val="single" w:color="BBBBBB" w:sz="2"/>
              <w:bottom w:val="single" w:color="BBBBBB" w:sz="2"/>
              <w:right w:val="single" w:color="BBBBBB" w:sz="2"/>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Two-status model (home vs. personal safety) for evacuated household clarity</w:t>
            </w:r>
          </w:p>
        </w:tc>
      </w:tr>
      <w:tr>
        <w:tc>
          <w:tcPr>
            <w:tcW w:type="dxa" w:w="90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bCs/>
                <w:color w:val="37474F"/>
                <w:sz w:val="18"/>
                <w:szCs w:val="18"/>
              </w:rPr>
              <w:t xml:space="preserve">Reproducibility</w:t>
            </w:r>
          </w:p>
        </w:tc>
        <w:tc>
          <w:tcPr>
            <w:tcW w:type="dxa" w:w="11200"/>
            <w:tcBorders>
              <w:top w:val="single" w:color="BBBBBB" w:sz="2"/>
              <w:left w:val="single" w:color="BBBBBB" w:sz="2"/>
              <w:bottom w:val="single" w:color="BBBBBB" w:sz="2"/>
              <w:right w:val="single" w:color="BBBBBB" w:sz="2"/>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74F"/>
                <w:sz w:val="18"/>
                <w:szCs w:val="18"/>
              </w:rPr>
              <w:t xml:space="preserve">GitHub + kaggle_wids_2026_minutes_matter.ipynb + minutes_matter_kaggle.py</w:t>
            </w:r>
          </w:p>
        </w:tc>
      </w:tr>
    </w:tbl>
    <w:p>
      <w:pPr>
        <w:spacing w:after="0" w:before="80"/>
      </w:pPr>
    </w:p>
    <w:p>
      <w:pPr>
        <w:shd w:fill="37474F" w:val="clear"/>
        <w:spacing w:after="0" w:before="40"/>
        <w:jc w:val="center"/>
      </w:pPr>
      <w:r>
        <w:rPr>
          <w:rFonts w:ascii="Arial" w:cs="Arial" w:eastAsia="Arial" w:hAnsi="Arial"/>
          <w:b/>
          <w:bCs/>
          <w:color w:val="FFFFFF"/>
          <w:sz w:val="18"/>
          <w:szCs w:val="18"/>
        </w:rPr>
        <w:t xml:space="preserve">FIGURE 5</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5 PNG here — right-click → Insert Image ]</w:t>
      </w:r>
    </w:p>
    <w:p>
      <w:pPr>
        <w:spacing w:after="100" w:before="40"/>
      </w:pPr>
      <w:r>
        <w:rPr>
          <w:rFonts w:ascii="Arial" w:cs="Arial" w:eastAsia="Arial" w:hAnsi="Arial"/>
          <w:i/>
          <w:iCs/>
          <w:color w:val="37474F"/>
          <w:sz w:val="18"/>
          <w:szCs w:val="18"/>
        </w:rPr>
        <w:t xml:space="preserve">Fig. 5. Minutes Matter UI — app screenshot. Shows caregiver dashboard with real-time fire map, shelter routing, and household safety rollup.</w:t>
      </w:r>
    </w:p>
    <w:p>
      <w:pPr>
        <w:shd w:fill="37474F" w:val="clear"/>
        <w:spacing w:after="0" w:before="40"/>
        <w:jc w:val="center"/>
      </w:pPr>
      <w:r>
        <w:rPr>
          <w:rFonts w:ascii="Arial" w:cs="Arial" w:eastAsia="Arial" w:hAnsi="Arial"/>
          <w:b/>
          <w:bCs/>
          <w:color w:val="FFFFFF"/>
          <w:sz w:val="18"/>
          <w:szCs w:val="18"/>
        </w:rPr>
        <w:t xml:space="preserve">FIGURE 6</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6 PNG here — right-click → Insert Image ]</w:t>
      </w:r>
    </w:p>
    <w:p>
      <w:pPr>
        <w:spacing w:after="100" w:before="40"/>
      </w:pPr>
      <w:r>
        <w:rPr>
          <w:rFonts w:ascii="Arial" w:cs="Arial" w:eastAsia="Arial" w:hAnsi="Arial"/>
          <w:i/>
          <w:iCs/>
          <w:color w:val="37474F"/>
          <w:sz w:val="18"/>
          <w:szCs w:val="18"/>
        </w:rPr>
        <w:t xml:space="preserve">Fig. 6. Signal gap worsening trend (2021–2025). Left: fire volume grew dramatically 2023–2024 while no-action rate held at ~98.7–99.1%. Right: 75% of extreme fires in 2024 received zero evacuation action — the absolute count of missed events is rising every year.</w:t>
      </w:r>
    </w:p>
    <w:p>
      <w:pPr>
        <w:shd w:fill="37474F" w:val="clear"/>
        <w:spacing w:after="0" w:before="40"/>
        <w:jc w:val="center"/>
      </w:pPr>
      <w:r>
        <w:rPr>
          <w:rFonts w:ascii="Arial" w:cs="Arial" w:eastAsia="Arial" w:hAnsi="Arial"/>
          <w:b/>
          <w:bCs/>
          <w:color w:val="FFFFFF"/>
          <w:sz w:val="18"/>
          <w:szCs w:val="18"/>
        </w:rPr>
        <w:t xml:space="preserve">FIGURE 7</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7 PNG here — right-click → Insert Image ]</w:t>
      </w:r>
    </w:p>
    <w:p>
      <w:pPr>
        <w:spacing w:after="100" w:before="40"/>
      </w:pPr>
      <w:r>
        <w:rPr>
          <w:rFonts w:ascii="Arial" w:cs="Arial" w:eastAsia="Arial" w:hAnsi="Arial"/>
          <w:i/>
          <w:iCs/>
          <w:color w:val="37474F"/>
          <w:sz w:val="18"/>
          <w:szCs w:val="18"/>
        </w:rPr>
        <w:t xml:space="preserve">Fig. 7. XGBoost / Random Forest feature importance (SHAP). Top predictors of evacuation delay: disability rate (EP_DISABL, 0.267), elderly population 65+ (EP_AGE65, 0.263), overall SVI (RPL_THEMES, 0.201), poverty rate (EP_POV150, 0.157), no-vehicle rate (EP_NOVEH, 0.112).</w:t>
      </w:r>
    </w:p>
    <w:p>
      <w:pPr>
        <w:shd w:fill="37474F" w:val="clear"/>
        <w:spacing w:after="0" w:before="40"/>
        <w:jc w:val="center"/>
      </w:pPr>
      <w:r>
        <w:rPr>
          <w:rFonts w:ascii="Arial" w:cs="Arial" w:eastAsia="Arial" w:hAnsi="Arial"/>
          <w:b/>
          <w:bCs/>
          <w:color w:val="FFFFFF"/>
          <w:sz w:val="18"/>
          <w:szCs w:val="18"/>
        </w:rPr>
        <w:t xml:space="preserve">FIGURE 8</w:t>
      </w:r>
    </w:p>
    <w:p>
      <w:pPr>
        <w:pBdr>
          <w:top w:val="single" w:color="37474F" w:sz="2"/>
          <w:bottom w:val="single" w:color="37474F" w:sz="2"/>
          <w:left w:val="single" w:color="37474F" w:sz="2"/>
          <w:right w:val="single" w:color="37474F" w:sz="2"/>
        </w:pBdr>
        <w:shd w:fill="ECEFF1" w:val="clear"/>
        <w:spacing w:after="0" w:before="0"/>
        <w:jc w:val="center"/>
      </w:pPr>
      <w:r>
        <w:rPr>
          <w:rFonts w:ascii="Arial" w:cs="Arial" w:eastAsia="Arial" w:hAnsi="Arial"/>
          <w:i/>
          <w:iCs/>
          <w:color w:val="37474F"/>
          <w:sz w:val="16"/>
          <w:szCs w:val="16"/>
        </w:rPr>
        <w:t xml:space="preserve">[ Insert figure 8 PNG here — right-click → Insert Image ]</w:t>
      </w:r>
    </w:p>
    <w:p>
      <w:pPr>
        <w:spacing w:after="100" w:before="40"/>
      </w:pPr>
      <w:r>
        <w:rPr>
          <w:rFonts w:ascii="Arial" w:cs="Arial" w:eastAsia="Arial" w:hAnsi="Arial"/>
          <w:i/>
          <w:iCs/>
          <w:color w:val="37474F"/>
          <w:sz w:val="18"/>
          <w:szCs w:val="18"/>
        </w:rPr>
        <w:t xml:space="preserve">Fig. 8. Hidden Danger: high-SVI fires with extreme spread and zero evacuation action (bubble size proportional to acres). Real named fires including Antelope (CA), Cedar Creek (OR), Middle Fork (NM), Brattain (OR).</w:t>
      </w:r>
    </w:p>
    <w:p>
      <w:pPr>
        <w:pBdr>
          <w:bottom w:val="single" w:color="2D5016" w:sz="4" w:space="2"/>
        </w:pBdr>
        <w:spacing w:after="80" w:before="180"/>
      </w:pPr>
      <w:r>
        <w:rPr>
          <w:rFonts w:ascii="Arial" w:cs="Arial" w:eastAsia="Arial" w:hAnsi="Arial"/>
          <w:b/>
          <w:bCs/>
          <w:color w:val="2D5016"/>
          <w:sz w:val="30"/>
          <w:szCs w:val="30"/>
        </w:rPr>
        <w:t xml:space="preserve">DISCUSSION</w:t>
      </w:r>
    </w:p>
    <w:p>
      <w:pPr>
        <w:spacing w:after="60" w:before="60"/>
        <w:jc w:val="left"/>
      </w:pPr>
      <w:r>
        <w:rPr>
          <w:rFonts w:ascii="Arial" w:cs="Arial" w:eastAsia="Arial" w:hAnsi="Arial"/>
          <w:b w:val="false"/>
          <w:bCs w:val="false"/>
          <w:i w:val="false"/>
          <w:iCs w:val="false"/>
          <w:color w:val="37474F"/>
          <w:sz w:val="22"/>
          <w:szCs w:val="22"/>
        </w:rPr>
        <w:t xml:space="preserve">Minutes Matter maps Track 1 goals to a testable system: earlier awareness through multi-source fusion, clearer next actions via structured UI and Flameo guardrails, and equity-aware analytics that acknowledge WatchDuty coverage bias and missing ground truth. The 3.4× order-rate equity gap and protocol inversions are not statistical artifacts — they reflect real named fires where the most vulnerable communities were alerted last or not at all. Compared to alert-only baselines, we stress actionable routing, household aggregation, and responder visibility under consent.</w:t>
      </w:r>
    </w:p>
    <w:p>
      <w:pPr>
        <w:spacing w:after="60" w:before="60"/>
        <w:jc w:val="left"/>
      </w:pPr>
      <w:r>
        <w:rPr>
          <w:rFonts w:ascii="Arial" w:cs="Arial" w:eastAsia="Arial" w:hAnsi="Arial"/>
          <w:b w:val="false"/>
          <w:bCs w:val="false"/>
          <w:i w:val="false"/>
          <w:iCs w:val="false"/>
          <w:color w:val="37474F"/>
          <w:sz w:val="22"/>
          <w:szCs w:val="22"/>
        </w:rPr>
        <w:t xml:space="preserve">Limitations: third-party API availability; sparse shelter feeds when no incident is active; generative outputs require human oversight for life-safety messaging; XGBoost/RF metrics on rule-labeled rows are pipeline QA, not external validation. Next steps: tighter calibration to official evacuation orders, multilingual alert templates, and prospective evaluation with agency drills.</w:t>
      </w:r>
    </w:p>
    <w:p>
      <w:pPr>
        <w:pBdr>
          <w:bottom w:val="single" w:color="BF360C" w:sz="4" w:space="2"/>
        </w:pBdr>
        <w:spacing w:after="80" w:before="180"/>
      </w:pPr>
      <w:r>
        <w:rPr>
          <w:rFonts w:ascii="Arial" w:cs="Arial" w:eastAsia="Arial" w:hAnsi="Arial"/>
          <w:b/>
          <w:bCs/>
          <w:color w:val="BF360C"/>
          <w:sz w:val="24"/>
          <w:szCs w:val="24"/>
        </w:rPr>
        <w:t xml:space="preserve">REFERENCES</w:t>
      </w:r>
    </w:p>
    <w:p>
      <w:pPr>
        <w:spacing w:after="20" w:before="20"/>
        <w:jc w:val="left"/>
      </w:pPr>
      <w:r>
        <w:rPr>
          <w:rFonts w:ascii="Arial" w:cs="Arial" w:eastAsia="Arial" w:hAnsi="Arial"/>
          <w:b w:val="false"/>
          <w:bCs w:val="false"/>
          <w:i w:val="false"/>
          <w:iCs w:val="false"/>
          <w:color w:val="546E7A"/>
          <w:sz w:val="18"/>
          <w:szCs w:val="18"/>
        </w:rPr>
        <w:t xml:space="preserve">1. WiDS Worldwide. WiDS University Datathon 2026 (Track 1: Accelerating Equitable Evacuations).</w:t>
      </w:r>
    </w:p>
    <w:p>
      <w:pPr>
        <w:spacing w:after="20" w:before="20"/>
        <w:jc w:val="left"/>
      </w:pPr>
      <w:r>
        <w:rPr>
          <w:rFonts w:ascii="Arial" w:cs="Arial" w:eastAsia="Arial" w:hAnsi="Arial"/>
          <w:b w:val="false"/>
          <w:bCs w:val="false"/>
          <w:i w:val="false"/>
          <w:iCs w:val="false"/>
          <w:color w:val="546E7A"/>
          <w:sz w:val="18"/>
          <w:szCs w:val="18"/>
        </w:rPr>
        <w:t xml:space="preserve">2. WatchDuty. Public information and dataset documentation. watchduty.org</w:t>
      </w:r>
    </w:p>
    <w:p>
      <w:pPr>
        <w:spacing w:after="20" w:before="20"/>
        <w:jc w:val="left"/>
      </w:pPr>
      <w:r>
        <w:rPr>
          <w:rFonts w:ascii="Arial" w:cs="Arial" w:eastAsia="Arial" w:hAnsi="Arial"/>
          <w:b w:val="false"/>
          <w:bCs w:val="false"/>
          <w:i w:val="false"/>
          <w:iCs w:val="false"/>
          <w:color w:val="546E7A"/>
          <w:sz w:val="18"/>
          <w:szCs w:val="18"/>
        </w:rPr>
        <w:t xml:space="preserve">3. NASA FIRMS. Fire Information for Resource Management System. firms.modaps.eosdis.nasa.gov</w:t>
      </w:r>
    </w:p>
    <w:p>
      <w:pPr>
        <w:spacing w:after="20" w:before="20"/>
        <w:jc w:val="left"/>
      </w:pPr>
      <w:r>
        <w:rPr>
          <w:rFonts w:ascii="Arial" w:cs="Arial" w:eastAsia="Arial" w:hAnsi="Arial"/>
          <w:b w:val="false"/>
          <w:bCs w:val="false"/>
          <w:i w:val="false"/>
          <w:iCs w:val="false"/>
          <w:color w:val="546E7A"/>
          <w:sz w:val="18"/>
          <w:szCs w:val="18"/>
        </w:rPr>
        <w:t xml:space="preserve">4. National Interagency Fire Center (NIFC) / Esri active incident feature services.</w:t>
      </w:r>
    </w:p>
    <w:p>
      <w:pPr>
        <w:spacing w:after="20" w:before="20"/>
        <w:jc w:val="left"/>
      </w:pPr>
      <w:r>
        <w:rPr>
          <w:rFonts w:ascii="Arial" w:cs="Arial" w:eastAsia="Arial" w:hAnsi="Arial"/>
          <w:b w:val="false"/>
          <w:bCs w:val="false"/>
          <w:i w:val="false"/>
          <w:iCs w:val="false"/>
          <w:color w:val="546E7A"/>
          <w:sz w:val="18"/>
          <w:szCs w:val="18"/>
        </w:rPr>
        <w:t xml:space="preserve">5. FEMA National Risk Index. hazards.fema.gov/nri</w:t>
      </w:r>
    </w:p>
    <w:p>
      <w:pPr>
        <w:spacing w:after="20" w:before="20"/>
        <w:jc w:val="left"/>
      </w:pPr>
      <w:r>
        <w:rPr>
          <w:rFonts w:ascii="Arial" w:cs="Arial" w:eastAsia="Arial" w:hAnsi="Arial"/>
          <w:b w:val="false"/>
          <w:bCs w:val="false"/>
          <w:i w:val="false"/>
          <w:iCs w:val="false"/>
          <w:color w:val="546E7A"/>
          <w:sz w:val="18"/>
          <w:szCs w:val="18"/>
        </w:rPr>
        <w:t xml:space="preserve">6. FEMA National Shelter System (NSS) / Open Shelters layers.</w:t>
      </w:r>
    </w:p>
    <w:p>
      <w:pPr>
        <w:spacing w:after="20" w:before="20"/>
        <w:jc w:val="left"/>
      </w:pPr>
      <w:r>
        <w:rPr>
          <w:rFonts w:ascii="Arial" w:cs="Arial" w:eastAsia="Arial" w:hAnsi="Arial"/>
          <w:b w:val="false"/>
          <w:bCs w:val="false"/>
          <w:i w:val="false"/>
          <w:iCs w:val="false"/>
          <w:color w:val="546E7A"/>
          <w:sz w:val="18"/>
          <w:szCs w:val="18"/>
        </w:rPr>
        <w:t xml:space="preserve">7. Open-Meteo. Weather API. open-meteo.com</w:t>
      </w:r>
    </w:p>
    <w:p>
      <w:pPr>
        <w:spacing w:after="20" w:before="20"/>
        <w:jc w:val="left"/>
      </w:pPr>
      <w:r>
        <w:rPr>
          <w:rFonts w:ascii="Arial" w:cs="Arial" w:eastAsia="Arial" w:hAnsi="Arial"/>
          <w:b w:val="false"/>
          <w:bCs w:val="false"/>
          <w:i w:val="false"/>
          <w:iCs w:val="false"/>
          <w:color w:val="546E7A"/>
          <w:sz w:val="18"/>
          <w:szCs w:val="18"/>
        </w:rPr>
        <w:t xml:space="preserve">8. Anthropic. Claude API. anthropic.com</w:t>
      </w:r>
    </w:p>
    <w:p>
      <w:pPr>
        <w:spacing w:after="20" w:before="20"/>
        <w:jc w:val="left"/>
      </w:pPr>
      <w:r>
        <w:rPr>
          <w:rFonts w:ascii="Arial" w:cs="Arial" w:eastAsia="Arial" w:hAnsi="Arial"/>
          <w:b w:val="false"/>
          <w:bCs w:val="false"/>
          <w:i w:val="false"/>
          <w:iCs w:val="false"/>
          <w:color w:val="546E7A"/>
          <w:sz w:val="18"/>
          <w:szCs w:val="18"/>
        </w:rPr>
        <w:t xml:space="preserve">9. CDC/ATSDR. Social Vulnerability Index (SVI). atsdr.cdc.gov/placeandhealth/svi</w:t>
      </w:r>
    </w:p>
    <w:p>
      <w:pPr>
        <w:spacing w:after="20" w:before="20"/>
        <w:jc w:val="left"/>
      </w:pPr>
      <w:r>
        <w:rPr>
          <w:rFonts w:ascii="Arial" w:cs="Arial" w:eastAsia="Arial" w:hAnsi="Arial"/>
          <w:b w:val="false"/>
          <w:bCs w:val="false"/>
          <w:i w:val="false"/>
          <w:iCs w:val="false"/>
          <w:color w:val="546E7A"/>
          <w:sz w:val="18"/>
          <w:szCs w:val="18"/>
        </w:rPr>
        <w:t xml:space="preserve">10. Chen, T. &amp; Guestrin, C. XGBoost. KDD 2016.</w:t>
      </w:r>
    </w:p>
    <w:p>
      <w:pPr>
        <w:spacing w:after="20" w:before="20"/>
        <w:jc w:val="left"/>
      </w:pPr>
      <w:r>
        <w:rPr>
          <w:rFonts w:ascii="Arial" w:cs="Arial" w:eastAsia="Arial" w:hAnsi="Arial"/>
          <w:b w:val="false"/>
          <w:bCs w:val="false"/>
          <w:i w:val="false"/>
          <w:iCs w:val="false"/>
          <w:color w:val="546E7A"/>
          <w:sz w:val="18"/>
          <w:szCs w:val="18"/>
        </w:rPr>
        <w:t xml:space="preserve">11. Lundberg, S. &amp; Lee, S-I. SHAP. NeurIPS 2017.</w:t>
      </w:r>
    </w:p>
    <w:p>
      <w:pPr>
        <w:spacing w:after="20" w:before="20"/>
        <w:jc w:val="left"/>
      </w:pPr>
      <w:r>
        <w:rPr>
          <w:rFonts w:ascii="Arial" w:cs="Arial" w:eastAsia="Arial" w:hAnsi="Arial"/>
          <w:b w:val="false"/>
          <w:bCs w:val="false"/>
          <w:i w:val="false"/>
          <w:iCs w:val="false"/>
          <w:color w:val="546E7A"/>
          <w:sz w:val="18"/>
          <w:szCs w:val="18"/>
        </w:rPr>
        <w:t xml:space="preserve">12. Supabase, Vercel, Next.js — product documentation as applicable.</w:t>
      </w:r>
    </w:p>
    <w:p>
      <w:pPr>
        <w:spacing w:after="20" w:before="20"/>
        <w:jc w:val="left"/>
      </w:pPr>
      <w:r>
        <w:rPr>
          <w:rFonts w:ascii="Arial" w:cs="Arial" w:eastAsia="Arial" w:hAnsi="Arial"/>
          <w:b w:val="false"/>
          <w:bCs w:val="false"/>
          <w:i w:val="false"/>
          <w:iCs w:val="false"/>
          <w:color w:val="546E7A"/>
          <w:sz w:val="18"/>
          <w:szCs w:val="18"/>
        </w:rPr>
        <w:t xml:space="preserve">Acknowledgements: WiDS Worldwide; WiDS Apprenticeship Pilot; Accenture Song (Braden Carlson); UNC Charlotte faculty; open-data providers; WatchDuty and first-responder communities.</w:t>
      </w:r>
    </w:p>
    <w:sectPr>
      <w:pgSz w:w="51840" w:h="6912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2026-04-03T17:02:55.312Z</dcterms:created>
  <dcterms:modified xsi:type="dcterms:W3CDTF">2026-04-03T17:02:55.317Z</dcterms:modified>
</cp:coreProperties>
</file>

<file path=docProps/custom.xml><?xml version="1.0" encoding="utf-8"?>
<Properties xmlns="http://schemas.openxmlformats.org/officeDocument/2006/custom-properties" xmlns:vt="http://schemas.openxmlformats.org/officeDocument/2006/docPropsVTypes"/>
</file>