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068" w:rsidRPr="00553068" w:rsidRDefault="00553068" w:rsidP="00553068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4E547C"/>
          <w:sz w:val="24"/>
          <w:szCs w:val="24"/>
          <w:lang w:eastAsia="ru-RU"/>
        </w:rPr>
      </w:pPr>
      <w:bookmarkStart w:id="0" w:name="_GoBack"/>
      <w:bookmarkEnd w:id="0"/>
      <w:r w:rsidRPr="00553068">
        <w:rPr>
          <w:rFonts w:ascii="Verdana" w:eastAsia="Times New Roman" w:hAnsi="Verdana" w:cs="Times New Roman"/>
          <w:b/>
          <w:bCs/>
          <w:color w:val="4E547C"/>
          <w:sz w:val="24"/>
          <w:szCs w:val="24"/>
          <w:lang w:eastAsia="ru-RU"/>
        </w:rPr>
        <w:t>Образцы аннотаций к научным статьям:</w:t>
      </w:r>
    </w:p>
    <w:tbl>
      <w:tblPr>
        <w:tblW w:w="0" w:type="auto"/>
        <w:tblCellSpacing w:w="0" w:type="dxa"/>
        <w:tblBorders>
          <w:top w:val="single" w:sz="6" w:space="0" w:color="000000"/>
          <w:left w:val="single" w:sz="6" w:space="0" w:color="000000"/>
        </w:tblBorders>
        <w:shd w:val="clear" w:color="auto" w:fill="E1E1FF"/>
        <w:tblCellMar>
          <w:top w:w="300" w:type="dxa"/>
          <w:left w:w="300" w:type="dxa"/>
          <w:bottom w:w="300" w:type="dxa"/>
          <w:right w:w="300" w:type="dxa"/>
        </w:tblCellMar>
        <w:tblLook w:val="04A0" w:firstRow="1" w:lastRow="0" w:firstColumn="1" w:lastColumn="0" w:noHBand="0" w:noVBand="1"/>
      </w:tblPr>
      <w:tblGrid>
        <w:gridCol w:w="11087"/>
      </w:tblGrid>
      <w:tr w:rsidR="00553068" w:rsidRPr="00553068" w:rsidTr="00553068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1E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3068" w:rsidRPr="00553068" w:rsidRDefault="00553068" w:rsidP="00553068">
            <w:pPr>
              <w:spacing w:after="0" w:line="240" w:lineRule="auto"/>
              <w:rPr>
                <w:rFonts w:ascii="Verdana" w:eastAsia="Times New Roman" w:hAnsi="Verdana" w:cs="Times New Roman"/>
                <w:color w:val="3A4355"/>
                <w:sz w:val="18"/>
                <w:szCs w:val="18"/>
                <w:lang w:eastAsia="ru-RU"/>
              </w:rPr>
            </w:pPr>
            <w:r w:rsidRPr="00553068">
              <w:rPr>
                <w:rFonts w:ascii="Verdana" w:eastAsia="Times New Roman" w:hAnsi="Verdana" w:cs="Times New Roman"/>
                <w:b/>
                <w:bCs/>
                <w:color w:val="3A4355"/>
                <w:sz w:val="18"/>
                <w:szCs w:val="18"/>
                <w:lang w:eastAsia="ru-RU"/>
              </w:rPr>
              <w:t>Пример 1:</w:t>
            </w:r>
          </w:p>
          <w:p w:rsidR="00553068" w:rsidRPr="00553068" w:rsidRDefault="00553068" w:rsidP="00553068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3A4355"/>
                <w:sz w:val="24"/>
                <w:szCs w:val="24"/>
                <w:lang w:eastAsia="ru-RU"/>
              </w:rPr>
            </w:pPr>
            <w:r w:rsidRPr="00553068">
              <w:rPr>
                <w:rFonts w:ascii="Times New Roman" w:eastAsia="Times New Roman" w:hAnsi="Times New Roman" w:cs="Times New Roman"/>
                <w:i/>
                <w:iCs/>
                <w:color w:val="3A4355"/>
                <w:sz w:val="24"/>
                <w:szCs w:val="24"/>
                <w:lang w:eastAsia="ru-RU"/>
              </w:rPr>
              <w:t>В данной статье рассмотрены проблемы толкования положений Конституции Конституционным Судом Российской Федерации. Проанализированы характерные особенности грамматического способа толкования, использование в процессе такого толкования различных методов лингвистического и юридического анализа (на примере текстов постановлений Конституционного Суда РФ). Выявлена и обоснована необходимость совместного использования методов юридического и лингвистического анализа в процессе толкования. На основе проведенного исследования автором предлагается выделить юридико-технический способ толкования, дается его определение, формулируются основные характеристики лингвистического и юридического анализа, составляющих юридико-технический способ.</w:t>
            </w:r>
          </w:p>
        </w:tc>
      </w:tr>
    </w:tbl>
    <w:p w:rsidR="00553068" w:rsidRPr="00553068" w:rsidRDefault="00553068" w:rsidP="0055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0" w:type="dxa"/>
        <w:tblBorders>
          <w:top w:val="single" w:sz="6" w:space="0" w:color="000000"/>
          <w:left w:val="single" w:sz="6" w:space="0" w:color="000000"/>
        </w:tblBorders>
        <w:shd w:val="clear" w:color="auto" w:fill="E1E1FF"/>
        <w:tblCellMar>
          <w:top w:w="300" w:type="dxa"/>
          <w:left w:w="300" w:type="dxa"/>
          <w:bottom w:w="300" w:type="dxa"/>
          <w:right w:w="300" w:type="dxa"/>
        </w:tblCellMar>
        <w:tblLook w:val="04A0" w:firstRow="1" w:lastRow="0" w:firstColumn="1" w:lastColumn="0" w:noHBand="0" w:noVBand="1"/>
      </w:tblPr>
      <w:tblGrid>
        <w:gridCol w:w="11087"/>
      </w:tblGrid>
      <w:tr w:rsidR="00553068" w:rsidRPr="00553068" w:rsidTr="00553068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1E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3068" w:rsidRPr="00553068" w:rsidRDefault="00553068" w:rsidP="00553068">
            <w:pPr>
              <w:spacing w:after="0" w:line="240" w:lineRule="auto"/>
              <w:rPr>
                <w:rFonts w:ascii="Verdana" w:eastAsia="Times New Roman" w:hAnsi="Verdana" w:cs="Times New Roman"/>
                <w:color w:val="3A4355"/>
                <w:sz w:val="18"/>
                <w:szCs w:val="18"/>
                <w:lang w:eastAsia="ru-RU"/>
              </w:rPr>
            </w:pPr>
            <w:r w:rsidRPr="00553068">
              <w:rPr>
                <w:rFonts w:ascii="Verdana" w:eastAsia="Times New Roman" w:hAnsi="Verdana" w:cs="Times New Roman"/>
                <w:b/>
                <w:bCs/>
                <w:color w:val="3A4355"/>
                <w:sz w:val="18"/>
                <w:szCs w:val="18"/>
                <w:lang w:eastAsia="ru-RU"/>
              </w:rPr>
              <w:t>Пример 2:</w:t>
            </w:r>
          </w:p>
          <w:p w:rsidR="00553068" w:rsidRPr="00553068" w:rsidRDefault="00553068" w:rsidP="00553068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3A4355"/>
                <w:sz w:val="24"/>
                <w:szCs w:val="24"/>
                <w:lang w:eastAsia="ru-RU"/>
              </w:rPr>
            </w:pPr>
            <w:r w:rsidRPr="00553068">
              <w:rPr>
                <w:rFonts w:ascii="Times New Roman" w:eastAsia="Times New Roman" w:hAnsi="Times New Roman" w:cs="Times New Roman"/>
                <w:i/>
                <w:iCs/>
                <w:color w:val="3A4355"/>
                <w:sz w:val="24"/>
                <w:szCs w:val="24"/>
                <w:lang w:eastAsia="ru-RU"/>
              </w:rPr>
              <w:t>Статья посвящена философскому осмыслению сетевых коммуникаций в современном обществе, которые вносят новые формы диалога и общения в социум и все его сферы, в том числе и в образование. Показано, что сетевые коммуникации играют в обществе двоякую роль: могут формировать клипмейкерское сознание, которое не требует креативности, или же развивать креативное, поисковое, навигаторское мышление. Образование в XXI веке должно развиваться по сетевой модели, которой свойственны синергетические, диалогические и коммуникативные аспекты. Главное достоинство новой модели - открытость для диалога и коммуникации и возможность самоорганизации.</w:t>
            </w:r>
          </w:p>
        </w:tc>
      </w:tr>
    </w:tbl>
    <w:p w:rsidR="00553068" w:rsidRPr="00553068" w:rsidRDefault="00553068" w:rsidP="0055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0" w:type="dxa"/>
        <w:tblBorders>
          <w:top w:val="single" w:sz="6" w:space="0" w:color="000000"/>
          <w:left w:val="single" w:sz="6" w:space="0" w:color="000000"/>
        </w:tblBorders>
        <w:shd w:val="clear" w:color="auto" w:fill="E1E1FF"/>
        <w:tblCellMar>
          <w:top w:w="300" w:type="dxa"/>
          <w:left w:w="300" w:type="dxa"/>
          <w:bottom w:w="300" w:type="dxa"/>
          <w:right w:w="300" w:type="dxa"/>
        </w:tblCellMar>
        <w:tblLook w:val="04A0" w:firstRow="1" w:lastRow="0" w:firstColumn="1" w:lastColumn="0" w:noHBand="0" w:noVBand="1"/>
      </w:tblPr>
      <w:tblGrid>
        <w:gridCol w:w="11087"/>
      </w:tblGrid>
      <w:tr w:rsidR="00553068" w:rsidRPr="00553068" w:rsidTr="00553068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1E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3068" w:rsidRPr="00553068" w:rsidRDefault="00553068" w:rsidP="00553068">
            <w:pPr>
              <w:spacing w:after="0" w:line="240" w:lineRule="auto"/>
              <w:rPr>
                <w:rFonts w:ascii="Verdana" w:eastAsia="Times New Roman" w:hAnsi="Verdana" w:cs="Times New Roman"/>
                <w:color w:val="3A4355"/>
                <w:sz w:val="18"/>
                <w:szCs w:val="18"/>
                <w:lang w:eastAsia="ru-RU"/>
              </w:rPr>
            </w:pPr>
            <w:r w:rsidRPr="00553068">
              <w:rPr>
                <w:rFonts w:ascii="Verdana" w:eastAsia="Times New Roman" w:hAnsi="Verdana" w:cs="Times New Roman"/>
                <w:b/>
                <w:bCs/>
                <w:color w:val="3A4355"/>
                <w:sz w:val="18"/>
                <w:szCs w:val="18"/>
                <w:lang w:eastAsia="ru-RU"/>
              </w:rPr>
              <w:t>Пример 3:</w:t>
            </w:r>
          </w:p>
          <w:p w:rsidR="00553068" w:rsidRPr="00553068" w:rsidRDefault="00553068" w:rsidP="00553068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3A4355"/>
                <w:sz w:val="24"/>
                <w:szCs w:val="24"/>
                <w:lang w:eastAsia="ru-RU"/>
              </w:rPr>
            </w:pPr>
            <w:r w:rsidRPr="00553068">
              <w:rPr>
                <w:rFonts w:ascii="Times New Roman" w:eastAsia="Times New Roman" w:hAnsi="Times New Roman" w:cs="Times New Roman"/>
                <w:i/>
                <w:iCs/>
                <w:color w:val="3A4355"/>
                <w:sz w:val="24"/>
                <w:szCs w:val="24"/>
                <w:lang w:eastAsia="ru-RU"/>
              </w:rPr>
              <w:t>В статье ставится задача рассмотреть эффект сохранения и преобразования художественного канона на примере задостойника А. А. Архангельского и П. Г. Чеснокова. В результате анализа автор впервые в литературе доказывает, что в Православном богослужебном пении существуют тексты с устойчивым канонизированным типом структуры. Они обладают свободой музыкальной трактовки. При сохранении единого текста и структуры произведений, использованием различных мелодико-графических формул достигается широкое разнообразие музыкальных произведений.</w:t>
            </w:r>
          </w:p>
        </w:tc>
      </w:tr>
    </w:tbl>
    <w:p w:rsidR="00553068" w:rsidRPr="00553068" w:rsidRDefault="00553068" w:rsidP="00553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0" w:type="dxa"/>
        <w:tblBorders>
          <w:top w:val="single" w:sz="6" w:space="0" w:color="000000"/>
          <w:left w:val="single" w:sz="6" w:space="0" w:color="000000"/>
        </w:tblBorders>
        <w:shd w:val="clear" w:color="auto" w:fill="E1E1FF"/>
        <w:tblCellMar>
          <w:top w:w="300" w:type="dxa"/>
          <w:left w:w="300" w:type="dxa"/>
          <w:bottom w:w="300" w:type="dxa"/>
          <w:right w:w="300" w:type="dxa"/>
        </w:tblCellMar>
        <w:tblLook w:val="04A0" w:firstRow="1" w:lastRow="0" w:firstColumn="1" w:lastColumn="0" w:noHBand="0" w:noVBand="1"/>
      </w:tblPr>
      <w:tblGrid>
        <w:gridCol w:w="11087"/>
      </w:tblGrid>
      <w:tr w:rsidR="00553068" w:rsidRPr="00553068" w:rsidTr="00553068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1E1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53068" w:rsidRPr="00553068" w:rsidRDefault="00553068" w:rsidP="00553068">
            <w:pPr>
              <w:spacing w:after="0" w:line="240" w:lineRule="auto"/>
              <w:rPr>
                <w:rFonts w:ascii="Verdana" w:eastAsia="Times New Roman" w:hAnsi="Verdana" w:cs="Times New Roman"/>
                <w:color w:val="3A4355"/>
                <w:sz w:val="18"/>
                <w:szCs w:val="18"/>
                <w:lang w:eastAsia="ru-RU"/>
              </w:rPr>
            </w:pPr>
            <w:r w:rsidRPr="00553068">
              <w:rPr>
                <w:rFonts w:ascii="Verdana" w:eastAsia="Times New Roman" w:hAnsi="Verdana" w:cs="Times New Roman"/>
                <w:b/>
                <w:bCs/>
                <w:color w:val="3A4355"/>
                <w:sz w:val="18"/>
                <w:szCs w:val="18"/>
                <w:lang w:eastAsia="ru-RU"/>
              </w:rPr>
              <w:t>Пример 4:</w:t>
            </w:r>
          </w:p>
          <w:p w:rsidR="00553068" w:rsidRPr="00553068" w:rsidRDefault="00553068" w:rsidP="00553068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3A4355"/>
                <w:sz w:val="24"/>
                <w:szCs w:val="24"/>
                <w:lang w:eastAsia="ru-RU"/>
              </w:rPr>
            </w:pPr>
            <w:r w:rsidRPr="00553068">
              <w:rPr>
                <w:rFonts w:ascii="Times New Roman" w:eastAsia="Times New Roman" w:hAnsi="Times New Roman" w:cs="Times New Roman"/>
                <w:i/>
                <w:iCs/>
                <w:color w:val="3A4355"/>
                <w:sz w:val="24"/>
                <w:szCs w:val="24"/>
                <w:lang w:eastAsia="ru-RU"/>
              </w:rPr>
              <w:t>Статья посвящена вопросам организационного оформления общества "Долой неграмотность" (ОДН) в Псковской губернии в 1920-е годы. Автор раскрывает задачи, лозунги, формы и виды деятельности общества. Особое внимание обращается на правовую основу и материальную базу функционирования организации. На основе анализа динамики численности добровольного общества, результативности его практической деятельности, а также характера взаимодействия с другими общественными организациями определяется степень участия ОДН в общественно-политической жизни региона.</w:t>
            </w:r>
          </w:p>
        </w:tc>
      </w:tr>
    </w:tbl>
    <w:p w:rsidR="00294D9D" w:rsidRDefault="00294D9D"/>
    <w:sectPr w:rsidR="00294D9D" w:rsidSect="00553068">
      <w:pgSz w:w="11906" w:h="16838"/>
      <w:pgMar w:top="397" w:right="567" w:bottom="39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068"/>
    <w:rsid w:val="000A7FA2"/>
    <w:rsid w:val="00106DC0"/>
    <w:rsid w:val="00294D9D"/>
    <w:rsid w:val="0039496E"/>
    <w:rsid w:val="004364C9"/>
    <w:rsid w:val="00537F47"/>
    <w:rsid w:val="00553068"/>
    <w:rsid w:val="008466A3"/>
    <w:rsid w:val="008F2B7A"/>
    <w:rsid w:val="00AB4EB7"/>
    <w:rsid w:val="00BC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8466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846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13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4FD89E5C-D7A0-4B81-8535-4A06D96DA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Людмила Дегтеренко</dc:creator>
  <cp:lastModifiedBy>Людмила Дегтеренко</cp:lastModifiedBy>
  <cp:revision>2</cp:revision>
  <cp:lastPrinted>2017-04-05T03:26:00Z</cp:lastPrinted>
  <dcterms:created xsi:type="dcterms:W3CDTF">2020-04-06T09:32:00Z</dcterms:created>
  <dcterms:modified xsi:type="dcterms:W3CDTF">2020-04-06T09:32:00Z</dcterms:modified>
</cp:coreProperties>
</file>