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76" w:lineRule="auto"/>
        <w:jc w:val="left"/>
      </w:pPr>
      <w:r>
        <w:rPr>
          <w:rFonts w:ascii="Calibri" w:hAnsi="Calibri"/>
          <w:b/>
          <w:color w:val="1B365D"/>
          <w:sz w:val="36"/>
        </w:rPr>
        <w:t>Relatório Técnico: Pré-Processamento, Engenharia de Atributos e Preparação de Dados para Predição de Desfecho em Tuberculose Pulmonar (SINAN)</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4701"/>
        <w:gridCol w:w="4701"/>
      </w:tblGrid>
      <w:tr>
        <w:tc>
          <w:tcPr>
            <w:tcW w:type="dxa" w:w="2592"/>
            <w:shd w:fill="F1F5F9"/>
            <w:vAlign w:val="center"/>
            <w:tcMar>
              <w:top w:w="60" w:type="dxa"/>
              <w:bottom w:w="60" w:type="dxa"/>
              <w:left w:w="100" w:type="dxa"/>
              <w:right w:w="100" w:type="dxa"/>
            </w:tcMar>
          </w:tcPr>
          <w:p>
            <w:pPr>
              <w:spacing w:before="40" w:after="40" w:line="276" w:lineRule="auto"/>
              <w:jc w:val="right"/>
            </w:pPr>
            <w:r>
              <w:rPr>
                <w:rFonts w:ascii="Calibri" w:hAnsi="Calibri"/>
                <w:b/>
                <w:color w:val="1B365D"/>
                <w:sz w:val="19"/>
              </w:rPr>
              <w:t>Coorte de Estudo:</w:t>
            </w:r>
          </w:p>
        </w:tc>
        <w:tc>
          <w:tcPr>
            <w:tcW w:type="dxa" w:w="6768"/>
            <w:shd w:fill="FFFFFF"/>
            <w:vAlign w:val="center"/>
            <w:tcMar>
              <w:top w:w="60" w:type="dxa"/>
              <w:bottom w:w="60" w:type="dxa"/>
              <w:left w:w="100" w:type="dxa"/>
              <w:right w:w="100" w:type="dxa"/>
            </w:tcMar>
          </w:tcPr>
          <w:p>
            <w:pPr>
              <w:spacing w:before="40" w:after="40" w:line="276" w:lineRule="auto"/>
              <w:jc w:val="left"/>
            </w:pPr>
            <w:r>
              <w:rPr>
                <w:rFonts w:ascii="Calibri" w:hAnsi="Calibri"/>
                <w:color w:val="334155"/>
                <w:sz w:val="19"/>
              </w:rPr>
              <w:t>Sistema de Informação de Agravos de Notificação (SINAN) — Casos de Tuberculose Pulmonar (2014–2024)</w:t>
            </w:r>
          </w:p>
        </w:tc>
      </w:tr>
      <w:tr>
        <w:tc>
          <w:tcPr>
            <w:tcW w:type="dxa" w:w="2592"/>
            <w:shd w:fill="F1F5F9"/>
            <w:vAlign w:val="center"/>
            <w:tcMar>
              <w:top w:w="60" w:type="dxa"/>
              <w:bottom w:w="60" w:type="dxa"/>
              <w:left w:w="100" w:type="dxa"/>
              <w:right w:w="100" w:type="dxa"/>
            </w:tcMar>
          </w:tcPr>
          <w:p>
            <w:pPr>
              <w:spacing w:before="40" w:after="40" w:line="276" w:lineRule="auto"/>
              <w:jc w:val="right"/>
            </w:pPr>
            <w:r>
              <w:rPr>
                <w:rFonts w:ascii="Calibri" w:hAnsi="Calibri"/>
                <w:b/>
                <w:color w:val="1B365D"/>
                <w:sz w:val="19"/>
              </w:rPr>
              <w:t>Desfecho Analítico:</w:t>
            </w:r>
          </w:p>
        </w:tc>
        <w:tc>
          <w:tcPr>
            <w:tcW w:type="dxa" w:w="6768"/>
            <w:shd w:fill="FFFFFF"/>
            <w:vAlign w:val="center"/>
            <w:tcMar>
              <w:top w:w="60" w:type="dxa"/>
              <w:bottom w:w="60" w:type="dxa"/>
              <w:left w:w="100" w:type="dxa"/>
              <w:right w:w="100" w:type="dxa"/>
            </w:tcMar>
          </w:tcPr>
          <w:p>
            <w:pPr>
              <w:spacing w:before="40" w:after="40" w:line="276" w:lineRule="auto"/>
              <w:jc w:val="left"/>
            </w:pPr>
            <w:r>
              <w:rPr>
                <w:rFonts w:ascii="Calibri" w:hAnsi="Calibri"/>
                <w:color w:val="334155"/>
                <w:sz w:val="19"/>
              </w:rPr>
              <w:t>Predição Binária de Desfecho Clínico (Cura = 0 vs. Óbito por Tuberculose = 1)</w:t>
            </w:r>
          </w:p>
        </w:tc>
      </w:tr>
      <w:tr>
        <w:tc>
          <w:tcPr>
            <w:tcW w:type="dxa" w:w="2592"/>
            <w:shd w:fill="F1F5F9"/>
            <w:vAlign w:val="center"/>
            <w:tcMar>
              <w:top w:w="60" w:type="dxa"/>
              <w:bottom w:w="60" w:type="dxa"/>
              <w:left w:w="100" w:type="dxa"/>
              <w:right w:w="100" w:type="dxa"/>
            </w:tcMar>
          </w:tcPr>
          <w:p>
            <w:pPr>
              <w:spacing w:before="40" w:after="40" w:line="276" w:lineRule="auto"/>
              <w:jc w:val="right"/>
            </w:pPr>
            <w:r>
              <w:rPr>
                <w:rFonts w:ascii="Calibri" w:hAnsi="Calibri"/>
                <w:b/>
                <w:color w:val="1B365D"/>
                <w:sz w:val="19"/>
              </w:rPr>
              <w:t>Data do Projeto:</w:t>
            </w:r>
          </w:p>
        </w:tc>
        <w:tc>
          <w:tcPr>
            <w:tcW w:type="dxa" w:w="6768"/>
            <w:shd w:fill="FFFFFF"/>
            <w:vAlign w:val="center"/>
            <w:tcMar>
              <w:top w:w="60" w:type="dxa"/>
              <w:bottom w:w="60" w:type="dxa"/>
              <w:left w:w="100" w:type="dxa"/>
              <w:right w:w="100" w:type="dxa"/>
            </w:tcMar>
          </w:tcPr>
          <w:p>
            <w:pPr>
              <w:spacing w:before="40" w:after="40" w:line="276" w:lineRule="auto"/>
              <w:jc w:val="left"/>
            </w:pPr>
            <w:r>
              <w:rPr>
                <w:rFonts w:ascii="Calibri" w:hAnsi="Calibri"/>
                <w:color w:val="334155"/>
                <w:sz w:val="19"/>
              </w:rPr>
              <w:t>Outubro de 2026</w:t>
            </w:r>
          </w:p>
        </w:tc>
      </w:tr>
      <w:tr>
        <w:tc>
          <w:tcPr>
            <w:tcW w:type="dxa" w:w="2592"/>
            <w:shd w:fill="F1F5F9"/>
            <w:vAlign w:val="center"/>
            <w:tcMar>
              <w:top w:w="60" w:type="dxa"/>
              <w:bottom w:w="60" w:type="dxa"/>
              <w:left w:w="100" w:type="dxa"/>
              <w:right w:w="100" w:type="dxa"/>
            </w:tcMar>
          </w:tcPr>
          <w:p>
            <w:pPr>
              <w:spacing w:before="40" w:after="40" w:line="276" w:lineRule="auto"/>
              <w:jc w:val="right"/>
            </w:pPr>
            <w:r>
              <w:rPr>
                <w:rFonts w:ascii="Calibri" w:hAnsi="Calibri"/>
                <w:b/>
                <w:color w:val="1B365D"/>
                <w:sz w:val="19"/>
              </w:rPr>
              <w:t>Ambiente Operacional:</w:t>
            </w:r>
          </w:p>
        </w:tc>
        <w:tc>
          <w:tcPr>
            <w:tcW w:type="dxa" w:w="6768"/>
            <w:shd w:fill="FFFFFF"/>
            <w:vAlign w:val="center"/>
            <w:tcMar>
              <w:top w:w="60" w:type="dxa"/>
              <w:bottom w:w="60" w:type="dxa"/>
              <w:left w:w="100" w:type="dxa"/>
              <w:right w:w="100" w:type="dxa"/>
            </w:tcMar>
          </w:tcPr>
          <w:p>
            <w:pPr>
              <w:spacing w:before="40" w:after="40" w:line="276" w:lineRule="auto"/>
              <w:jc w:val="left"/>
            </w:pPr>
            <w:r>
              <w:rPr>
                <w:rFonts w:ascii="Calibri" w:hAnsi="Calibri"/>
                <w:color w:val="334155"/>
                <w:sz w:val="19"/>
              </w:rPr>
              <w:t>Python 3.14 | bibliotecas pandas, scikit-learn, scipy, matplotlib</w:t>
            </w:r>
          </w:p>
        </w:tc>
      </w:tr>
      <w:tr>
        <w:tc>
          <w:tcPr>
            <w:tcW w:type="dxa" w:w="2592"/>
            <w:shd w:fill="F1F5F9"/>
            <w:vAlign w:val="center"/>
            <w:tcMar>
              <w:top w:w="60" w:type="dxa"/>
              <w:bottom w:w="60" w:type="dxa"/>
              <w:left w:w="100" w:type="dxa"/>
              <w:right w:w="100" w:type="dxa"/>
            </w:tcMar>
          </w:tcPr>
          <w:p>
            <w:pPr>
              <w:spacing w:before="40" w:after="40" w:line="276" w:lineRule="auto"/>
              <w:jc w:val="right"/>
            </w:pPr>
            <w:r>
              <w:rPr>
                <w:rFonts w:ascii="Calibri" w:hAnsi="Calibri"/>
                <w:b/>
                <w:color w:val="1B365D"/>
                <w:sz w:val="19"/>
              </w:rPr>
              <w:t>Equipe Responsável:</w:t>
            </w:r>
          </w:p>
        </w:tc>
        <w:tc>
          <w:tcPr>
            <w:tcW w:type="dxa" w:w="6768"/>
            <w:shd w:fill="FFFFFF"/>
            <w:vAlign w:val="center"/>
            <w:tcMar>
              <w:top w:w="60" w:type="dxa"/>
              <w:bottom w:w="60" w:type="dxa"/>
              <w:left w:w="100" w:type="dxa"/>
              <w:right w:w="100" w:type="dxa"/>
            </w:tcMar>
          </w:tcPr>
          <w:p>
            <w:pPr>
              <w:spacing w:before="40" w:after="40" w:line="276" w:lineRule="auto"/>
              <w:jc w:val="left"/>
            </w:pPr>
            <w:r>
              <w:rPr>
                <w:rFonts w:ascii="Calibri" w:hAnsi="Calibri"/>
                <w:color w:val="334155"/>
                <w:sz w:val="19"/>
              </w:rPr>
              <w:t>Kevin Luís Alves de Lima, Lázaro Felipe da Rocha Santos</w:t>
            </w:r>
          </w:p>
        </w:tc>
      </w:tr>
    </w:tbl>
    <w:p>
      <w:pPr>
        <w:spacing w:before="0" w:after="120" w:line="276" w:lineRule="auto"/>
        <w:jc w:val="both"/>
      </w:pPr>
    </w:p>
    <w:p>
      <w:pPr>
        <w:pStyle w:val="Heading1"/>
        <w:keepNext/>
        <w:spacing w:before="320" w:after="120"/>
      </w:pPr>
      <w:r>
        <w:rPr>
          <w:rFonts w:ascii="Calibri" w:hAnsi="Calibri"/>
          <w:b/>
          <w:color w:val="1B365D"/>
          <w:sz w:val="28"/>
        </w:rPr>
        <w:t>1. Introdução e Objetivos</w:t>
      </w:r>
    </w:p>
    <w:p>
      <w:pPr>
        <w:spacing w:before="0" w:after="120" w:line="276" w:lineRule="auto"/>
        <w:jc w:val="both"/>
      </w:pPr>
      <w:r>
        <w:t>A tuberculose (TB) permanece como uma das doenças infecciosas de maior impacto na saúde pública global e nacional, figurando historicamente entre as principais causas de morte por agentes infecciosos únicos no Brasil e no mundo. A evolução para o óbito durante o tratamento está intimamente associada a fatores biológicos, clínicos, sociodemográficos e operacionais do sistema de saúde.</w:t>
      </w:r>
    </w:p>
    <w:p>
      <w:pPr>
        <w:spacing w:before="0" w:after="120" w:line="276" w:lineRule="auto"/>
        <w:jc w:val="both"/>
      </w:pPr>
      <w:r>
        <w:t>O presente trabalho documenta e fundamenta a execução do pipeline final de pré-processamento, engenharia de atributos, divisão amostral estratificada, seleção univariada de preditores, balanceamento de classes e análise exploratória de letalidade sobre a coorte pulmonar do Sistema de Informação de Agravos de Notificação (SINAN), cobrindo o período de 2014 a 2024.</w:t>
      </w:r>
    </w:p>
    <w:p>
      <w:pPr>
        <w:spacing w:before="0" w:after="120" w:line="276" w:lineRule="auto"/>
        <w:jc w:val="both"/>
      </w:pPr>
      <w:r>
        <w:t>O objetivo primordial deste pipeline é entregar uma base de modelagem de alta fidelidade ecológica, livre de qualquer contaminação por vazamento de dados (</w:t>
      </w:r>
      <w:r>
        <w:rPr>
          <w:i/>
        </w:rPr>
        <w:t>data leakage</w:t>
      </w:r>
      <w:r>
        <w:t>), com granularidade clínica interpretável e plenamente amparada nos marcos normativos e legais brasileiros e internacionais.</w:t>
      </w:r>
    </w:p>
    <w:p>
      <w:pPr>
        <w:pStyle w:val="Heading2"/>
        <w:keepNext/>
        <w:spacing w:before="240" w:after="80"/>
      </w:pPr>
      <w:r>
        <w:rPr>
          <w:rFonts w:ascii="Calibri" w:hAnsi="Calibri"/>
          <w:b/>
          <w:color w:val="2B547E"/>
          <w:sz w:val="24"/>
        </w:rPr>
        <w:t>1.1 Síntese Quantitativa do Funil Amostral da Coorte (2014–2024)</w:t>
      </w:r>
    </w:p>
    <w:p>
      <w:pPr>
        <w:spacing w:before="0" w:after="120" w:line="276" w:lineRule="auto"/>
        <w:jc w:val="both"/>
      </w:pPr>
      <w:r>
        <w:t>Para assegurar total transparência, auditabilidade e reprodutibilidade, o dimensionamento populacional da coorte em cada marco metodológico do projeto é sumarizado na Tabela 1 a seguir:</w:t>
      </w:r>
    </w:p>
    <w:p>
      <w:pPr>
        <w:spacing w:before="120" w:after="60" w:line="276" w:lineRule="auto"/>
        <w:jc w:val="left"/>
      </w:pPr>
      <w:r>
        <w:rPr>
          <w:rFonts w:ascii="Calibri" w:hAnsi="Calibri"/>
          <w:b/>
          <w:color w:val="1B365D"/>
          <w:sz w:val="19"/>
        </w:rPr>
        <w:t>Tabela 1 — Funil Amostral e Progressão Metodológica da Coorte SINAN Pulmonar (2014–2024)</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1881"/>
        <w:gridCol w:w="1881"/>
        <w:gridCol w:w="1881"/>
        <w:gridCol w:w="1881"/>
        <w:gridCol w:w="1881"/>
      </w:tblGrid>
      <w:tr>
        <w:tc>
          <w:tcPr>
            <w:tcW w:type="dxa" w:w="3600"/>
            <w:shd w:fill="1B365D"/>
            <w:tcMar>
              <w:top w:w="80" w:type="dxa"/>
              <w:bottom w:w="80" w:type="dxa"/>
              <w:left w:w="80" w:type="dxa"/>
              <w:right w:w="80" w:type="dxa"/>
            </w:tcMar>
          </w:tcPr>
          <w:p>
            <w:pPr>
              <w:spacing w:before="0" w:after="0" w:line="276" w:lineRule="auto"/>
              <w:jc w:val="left"/>
            </w:pPr>
            <w:r>
              <w:rPr>
                <w:rFonts w:ascii="Calibri" w:hAnsi="Calibri"/>
                <w:b/>
                <w:color w:val="FFFFFF"/>
                <w:sz w:val="18"/>
              </w:rPr>
              <w:t>Marco Metodológico</w:t>
            </w:r>
          </w:p>
        </w:tc>
        <w:tc>
          <w:tcPr>
            <w:tcW w:type="dxa" w:w="1440"/>
            <w:shd w:fill="1B365D"/>
            <w:tcMar>
              <w:top w:w="80" w:type="dxa"/>
              <w:bottom w:w="80" w:type="dxa"/>
              <w:left w:w="80" w:type="dxa"/>
              <w:right w:w="80" w:type="dxa"/>
            </w:tcMar>
          </w:tcPr>
          <w:p>
            <w:pPr>
              <w:spacing w:before="0" w:after="0" w:line="276" w:lineRule="auto"/>
              <w:jc w:val="center"/>
            </w:pPr>
            <w:r>
              <w:rPr>
                <w:rFonts w:ascii="Calibri" w:hAnsi="Calibri"/>
                <w:b/>
                <w:color w:val="FFFFFF"/>
                <w:sz w:val="18"/>
              </w:rPr>
              <w:t>Registros Totais (N)</w:t>
            </w:r>
          </w:p>
        </w:tc>
        <w:tc>
          <w:tcPr>
            <w:tcW w:type="dxa" w:w="1584"/>
            <w:shd w:fill="1B365D"/>
            <w:tcMar>
              <w:top w:w="80" w:type="dxa"/>
              <w:bottom w:w="80" w:type="dxa"/>
              <w:left w:w="80" w:type="dxa"/>
              <w:right w:w="80" w:type="dxa"/>
            </w:tcMar>
          </w:tcPr>
          <w:p>
            <w:pPr>
              <w:spacing w:before="0" w:after="0" w:line="276" w:lineRule="auto"/>
              <w:jc w:val="center"/>
            </w:pPr>
            <w:r>
              <w:rPr>
                <w:rFonts w:ascii="Calibri" w:hAnsi="Calibri"/>
                <w:b/>
                <w:color w:val="FFFFFF"/>
                <w:sz w:val="18"/>
              </w:rPr>
              <w:t>Curas (N / %)</w:t>
            </w:r>
          </w:p>
        </w:tc>
        <w:tc>
          <w:tcPr>
            <w:tcW w:type="dxa" w:w="1584"/>
            <w:shd w:fill="1B365D"/>
            <w:tcMar>
              <w:top w:w="80" w:type="dxa"/>
              <w:bottom w:w="80" w:type="dxa"/>
              <w:left w:w="80" w:type="dxa"/>
              <w:right w:w="80" w:type="dxa"/>
            </w:tcMar>
          </w:tcPr>
          <w:p>
            <w:pPr>
              <w:spacing w:before="0" w:after="0" w:line="276" w:lineRule="auto"/>
              <w:jc w:val="center"/>
            </w:pPr>
            <w:r>
              <w:rPr>
                <w:rFonts w:ascii="Calibri" w:hAnsi="Calibri"/>
                <w:b/>
                <w:color w:val="FFFFFF"/>
                <w:sz w:val="18"/>
              </w:rPr>
              <w:t>Óbitos por TB (N / %)</w:t>
            </w:r>
          </w:p>
        </w:tc>
        <w:tc>
          <w:tcPr>
            <w:tcW w:type="dxa" w:w="1872"/>
            <w:shd w:fill="1B365D"/>
            <w:tcMar>
              <w:top w:w="80" w:type="dxa"/>
              <w:bottom w:w="80" w:type="dxa"/>
              <w:left w:w="80" w:type="dxa"/>
              <w:right w:w="80" w:type="dxa"/>
            </w:tcMar>
          </w:tcPr>
          <w:p>
            <w:pPr>
              <w:spacing w:before="0" w:after="0" w:line="276" w:lineRule="auto"/>
              <w:jc w:val="center"/>
            </w:pPr>
            <w:r>
              <w:rPr>
                <w:rFonts w:ascii="Calibri" w:hAnsi="Calibri"/>
                <w:b/>
                <w:color w:val="FFFFFF"/>
                <w:sz w:val="18"/>
              </w:rPr>
              <w:t>Proporção da Base (%)</w:t>
            </w:r>
          </w:p>
        </w:tc>
      </w:tr>
      <w:tr>
        <w:tc>
          <w:tcPr>
            <w:tcW w:type="dxa" w:w="3600"/>
            <w:shd w:fill="FFFFFF"/>
            <w:tcMar>
              <w:top w:w="60" w:type="dxa"/>
              <w:bottom w:w="60" w:type="dxa"/>
              <w:left w:w="80" w:type="dxa"/>
              <w:right w:w="80" w:type="dxa"/>
            </w:tcMar>
          </w:tcPr>
          <w:p>
            <w:pPr>
              <w:spacing w:before="0" w:after="0" w:line="276" w:lineRule="auto"/>
              <w:jc w:val="left"/>
            </w:pPr>
            <w:r>
              <w:rPr>
                <w:rFonts w:ascii="Calibri" w:hAnsi="Calibri"/>
                <w:b/>
                <w:color w:val="1E293B"/>
                <w:sz w:val="17"/>
              </w:rPr>
              <w:t>1. Base Bruta Original (SINAN Pulmonar)</w:t>
            </w:r>
          </w:p>
        </w:tc>
        <w:tc>
          <w:tcPr>
            <w:tcW w:type="dxa" w:w="1440"/>
            <w:shd w:fill="FFFFFF"/>
            <w:tcMar>
              <w:top w:w="60" w:type="dxa"/>
              <w:bottom w:w="60" w:type="dxa"/>
              <w:left w:w="80" w:type="dxa"/>
              <w:right w:w="80" w:type="dxa"/>
            </w:tcMar>
          </w:tcPr>
          <w:p>
            <w:pPr>
              <w:spacing w:before="0" w:after="0" w:line="276" w:lineRule="auto"/>
              <w:jc w:val="center"/>
            </w:pPr>
            <w:r>
              <w:rPr>
                <w:rFonts w:ascii="Calibri" w:hAnsi="Calibri"/>
                <w:color w:val="1E293B"/>
                <w:sz w:val="17"/>
              </w:rPr>
              <w:t>884.221</w:t>
            </w:r>
          </w:p>
        </w:tc>
        <w:tc>
          <w:tcPr>
            <w:tcW w:type="dxa" w:w="1584"/>
            <w:shd w:fill="FFFFFF"/>
            <w:tcMar>
              <w:top w:w="60" w:type="dxa"/>
              <w:bottom w:w="60" w:type="dxa"/>
              <w:left w:w="80" w:type="dxa"/>
              <w:right w:w="80" w:type="dxa"/>
            </w:tcMar>
          </w:tcPr>
          <w:p>
            <w:pPr>
              <w:spacing w:before="0" w:after="0" w:line="276" w:lineRule="auto"/>
              <w:jc w:val="center"/>
            </w:pPr>
            <w:r>
              <w:rPr>
                <w:rFonts w:ascii="Calibri" w:hAnsi="Calibri"/>
                <w:color w:val="1E293B"/>
                <w:sz w:val="17"/>
              </w:rPr>
              <w:t>—</w:t>
            </w:r>
          </w:p>
        </w:tc>
        <w:tc>
          <w:tcPr>
            <w:tcW w:type="dxa" w:w="1584"/>
            <w:shd w:fill="FFFFFF"/>
            <w:tcMar>
              <w:top w:w="60" w:type="dxa"/>
              <w:bottom w:w="60" w:type="dxa"/>
              <w:left w:w="80" w:type="dxa"/>
              <w:right w:w="80" w:type="dxa"/>
            </w:tcMar>
          </w:tcPr>
          <w:p>
            <w:pPr>
              <w:spacing w:before="0" w:after="0" w:line="276" w:lineRule="auto"/>
              <w:jc w:val="center"/>
            </w:pPr>
            <w:r>
              <w:rPr>
                <w:rFonts w:ascii="Calibri" w:hAnsi="Calibri"/>
                <w:color w:val="1E293B"/>
                <w:sz w:val="17"/>
              </w:rPr>
              <w:t>—</w:t>
            </w:r>
          </w:p>
        </w:tc>
        <w:tc>
          <w:tcPr>
            <w:tcW w:type="dxa" w:w="1872"/>
            <w:shd w:fill="FFFFFF"/>
            <w:tcMar>
              <w:top w:w="60" w:type="dxa"/>
              <w:bottom w:w="60" w:type="dxa"/>
              <w:left w:w="80" w:type="dxa"/>
              <w:right w:w="80" w:type="dxa"/>
            </w:tcMar>
          </w:tcPr>
          <w:p>
            <w:pPr>
              <w:spacing w:before="0" w:after="0" w:line="276" w:lineRule="auto"/>
              <w:jc w:val="center"/>
            </w:pPr>
            <w:r>
              <w:rPr>
                <w:rFonts w:ascii="Calibri" w:hAnsi="Calibri"/>
                <w:color w:val="1E293B"/>
                <w:sz w:val="17"/>
              </w:rPr>
              <w:t>100,00%</w:t>
            </w:r>
          </w:p>
        </w:tc>
      </w:tr>
      <w:tr>
        <w:tc>
          <w:tcPr>
            <w:tcW w:type="dxa" w:w="3600"/>
            <w:shd w:fill="F8FAFC"/>
            <w:tcMar>
              <w:top w:w="60" w:type="dxa"/>
              <w:bottom w:w="60" w:type="dxa"/>
              <w:left w:w="80" w:type="dxa"/>
              <w:right w:w="80" w:type="dxa"/>
            </w:tcMar>
          </w:tcPr>
          <w:p>
            <w:pPr>
              <w:spacing w:before="0" w:after="0" w:line="276" w:lineRule="auto"/>
              <w:jc w:val="left"/>
            </w:pPr>
            <w:r>
              <w:rPr>
                <w:rFonts w:ascii="Calibri" w:hAnsi="Calibri"/>
                <w:b/>
                <w:color w:val="1E293B"/>
                <w:sz w:val="17"/>
              </w:rPr>
              <w:t>2. Exclusão de Outros Desfechos (Ativ. 3)</w:t>
            </w:r>
          </w:p>
        </w:tc>
        <w:tc>
          <w:tcPr>
            <w:tcW w:type="dxa" w:w="1440"/>
            <w:shd w:fill="F8FAFC"/>
            <w:tcMar>
              <w:top w:w="60" w:type="dxa"/>
              <w:bottom w:w="60" w:type="dxa"/>
              <w:left w:w="80" w:type="dxa"/>
              <w:right w:w="80" w:type="dxa"/>
            </w:tcMar>
          </w:tcPr>
          <w:p>
            <w:pPr>
              <w:spacing w:before="0" w:after="0" w:line="276" w:lineRule="auto"/>
              <w:jc w:val="center"/>
            </w:pPr>
            <w:r>
              <w:rPr>
                <w:rFonts w:ascii="Calibri" w:hAnsi="Calibri"/>
                <w:color w:val="1E293B"/>
                <w:sz w:val="17"/>
              </w:rPr>
              <w:t>280.808</w:t>
            </w:r>
          </w:p>
        </w:tc>
        <w:tc>
          <w:tcPr>
            <w:tcW w:type="dxa" w:w="1584"/>
            <w:shd w:fill="F8FAFC"/>
            <w:tcMar>
              <w:top w:w="60" w:type="dxa"/>
              <w:bottom w:w="60" w:type="dxa"/>
              <w:left w:w="80" w:type="dxa"/>
              <w:right w:w="80" w:type="dxa"/>
            </w:tcMar>
          </w:tcPr>
          <w:p>
            <w:pPr>
              <w:spacing w:before="0" w:after="0" w:line="276" w:lineRule="auto"/>
              <w:jc w:val="center"/>
            </w:pPr>
            <w:r>
              <w:rPr>
                <w:rFonts w:ascii="Calibri" w:hAnsi="Calibri"/>
                <w:color w:val="1E293B"/>
                <w:sz w:val="17"/>
              </w:rPr>
              <w:t>—</w:t>
            </w:r>
          </w:p>
        </w:tc>
        <w:tc>
          <w:tcPr>
            <w:tcW w:type="dxa" w:w="1584"/>
            <w:shd w:fill="F8FAFC"/>
            <w:tcMar>
              <w:top w:w="60" w:type="dxa"/>
              <w:bottom w:w="60" w:type="dxa"/>
              <w:left w:w="80" w:type="dxa"/>
              <w:right w:w="80" w:type="dxa"/>
            </w:tcMar>
          </w:tcPr>
          <w:p>
            <w:pPr>
              <w:spacing w:before="0" w:after="0" w:line="276" w:lineRule="auto"/>
              <w:jc w:val="center"/>
            </w:pPr>
            <w:r>
              <w:rPr>
                <w:rFonts w:ascii="Calibri" w:hAnsi="Calibri"/>
                <w:color w:val="1E293B"/>
                <w:sz w:val="17"/>
              </w:rPr>
              <w:t>—</w:t>
            </w:r>
          </w:p>
        </w:tc>
        <w:tc>
          <w:tcPr>
            <w:tcW w:type="dxa" w:w="1872"/>
            <w:shd w:fill="F8FAFC"/>
            <w:tcMar>
              <w:top w:w="60" w:type="dxa"/>
              <w:bottom w:w="60" w:type="dxa"/>
              <w:left w:w="80" w:type="dxa"/>
              <w:right w:w="80" w:type="dxa"/>
            </w:tcMar>
          </w:tcPr>
          <w:p>
            <w:pPr>
              <w:spacing w:before="0" w:after="0" w:line="276" w:lineRule="auto"/>
              <w:jc w:val="center"/>
            </w:pPr>
            <w:r>
              <w:rPr>
                <w:rFonts w:ascii="Calibri" w:hAnsi="Calibri"/>
                <w:color w:val="1E293B"/>
                <w:sz w:val="17"/>
              </w:rPr>
              <w:t>31,76% (Descartados)</w:t>
            </w:r>
          </w:p>
        </w:tc>
      </w:tr>
      <w:tr>
        <w:tc>
          <w:tcPr>
            <w:tcW w:type="dxa" w:w="3600"/>
            <w:shd w:fill="FFFFFF"/>
            <w:tcMar>
              <w:top w:w="60" w:type="dxa"/>
              <w:bottom w:w="60" w:type="dxa"/>
              <w:left w:w="80" w:type="dxa"/>
              <w:right w:w="80" w:type="dxa"/>
            </w:tcMar>
          </w:tcPr>
          <w:p>
            <w:pPr>
              <w:spacing w:before="0" w:after="0" w:line="276" w:lineRule="auto"/>
              <w:jc w:val="left"/>
            </w:pPr>
            <w:r>
              <w:rPr>
                <w:rFonts w:ascii="Calibri" w:hAnsi="Calibri"/>
                <w:b/>
                <w:color w:val="1E293B"/>
                <w:sz w:val="17"/>
              </w:rPr>
              <w:t>3. Coorte Analítica Inicial (Cura x Óbito)</w:t>
            </w:r>
          </w:p>
        </w:tc>
        <w:tc>
          <w:tcPr>
            <w:tcW w:type="dxa" w:w="1440"/>
            <w:shd w:fill="FFFFFF"/>
            <w:tcMar>
              <w:top w:w="60" w:type="dxa"/>
              <w:bottom w:w="60" w:type="dxa"/>
              <w:left w:w="80" w:type="dxa"/>
              <w:right w:w="80" w:type="dxa"/>
            </w:tcMar>
          </w:tcPr>
          <w:p>
            <w:pPr>
              <w:spacing w:before="0" w:after="0" w:line="276" w:lineRule="auto"/>
              <w:jc w:val="center"/>
            </w:pPr>
            <w:r>
              <w:rPr>
                <w:rFonts w:ascii="Calibri" w:hAnsi="Calibri"/>
                <w:color w:val="1E293B"/>
                <w:sz w:val="17"/>
              </w:rPr>
              <w:t>603.413</w:t>
            </w:r>
          </w:p>
        </w:tc>
        <w:tc>
          <w:tcPr>
            <w:tcW w:type="dxa" w:w="1584"/>
            <w:shd w:fill="FFFFFF"/>
            <w:tcMar>
              <w:top w:w="60" w:type="dxa"/>
              <w:bottom w:w="60" w:type="dxa"/>
              <w:left w:w="80" w:type="dxa"/>
              <w:right w:w="80" w:type="dxa"/>
            </w:tcMar>
          </w:tcPr>
          <w:p>
            <w:pPr>
              <w:spacing w:before="0" w:after="0" w:line="276" w:lineRule="auto"/>
              <w:jc w:val="center"/>
            </w:pPr>
            <w:r>
              <w:rPr>
                <w:rFonts w:ascii="Calibri" w:hAnsi="Calibri"/>
                <w:color w:val="1E293B"/>
                <w:sz w:val="17"/>
              </w:rPr>
              <w:t>568.780 (94,26%)</w:t>
            </w:r>
          </w:p>
        </w:tc>
        <w:tc>
          <w:tcPr>
            <w:tcW w:type="dxa" w:w="1584"/>
            <w:shd w:fill="FFFFFF"/>
            <w:tcMar>
              <w:top w:w="60" w:type="dxa"/>
              <w:bottom w:w="60" w:type="dxa"/>
              <w:left w:w="80" w:type="dxa"/>
              <w:right w:w="80" w:type="dxa"/>
            </w:tcMar>
          </w:tcPr>
          <w:p>
            <w:pPr>
              <w:spacing w:before="0" w:after="0" w:line="276" w:lineRule="auto"/>
              <w:jc w:val="center"/>
            </w:pPr>
            <w:r>
              <w:rPr>
                <w:rFonts w:ascii="Calibri" w:hAnsi="Calibri"/>
                <w:color w:val="1E293B"/>
                <w:sz w:val="17"/>
              </w:rPr>
              <w:t>34.633 (5,74%)</w:t>
            </w:r>
          </w:p>
        </w:tc>
        <w:tc>
          <w:tcPr>
            <w:tcW w:type="dxa" w:w="1872"/>
            <w:shd w:fill="FFFFFF"/>
            <w:tcMar>
              <w:top w:w="60" w:type="dxa"/>
              <w:bottom w:w="60" w:type="dxa"/>
              <w:left w:w="80" w:type="dxa"/>
              <w:right w:w="80" w:type="dxa"/>
            </w:tcMar>
          </w:tcPr>
          <w:p>
            <w:pPr>
              <w:spacing w:before="0" w:after="0" w:line="276" w:lineRule="auto"/>
              <w:jc w:val="center"/>
            </w:pPr>
            <w:r>
              <w:rPr>
                <w:rFonts w:ascii="Calibri" w:hAnsi="Calibri"/>
                <w:color w:val="1E293B"/>
                <w:sz w:val="17"/>
              </w:rPr>
              <w:t>68,24% (Retidos)</w:t>
            </w:r>
          </w:p>
        </w:tc>
      </w:tr>
      <w:tr>
        <w:tc>
          <w:tcPr>
            <w:tcW w:type="dxa" w:w="3600"/>
            <w:shd w:fill="F8FAFC"/>
            <w:tcMar>
              <w:top w:w="60" w:type="dxa"/>
              <w:bottom w:w="60" w:type="dxa"/>
              <w:left w:w="80" w:type="dxa"/>
              <w:right w:w="80" w:type="dxa"/>
            </w:tcMar>
          </w:tcPr>
          <w:p>
            <w:pPr>
              <w:spacing w:before="0" w:after="0" w:line="276" w:lineRule="auto"/>
              <w:jc w:val="left"/>
            </w:pPr>
            <w:r>
              <w:rPr>
                <w:rFonts w:ascii="Calibri" w:hAnsi="Calibri"/>
                <w:b/>
                <w:color w:val="1E293B"/>
                <w:sz w:val="17"/>
              </w:rPr>
              <w:t>4. Expurgo de Casos Pós-Óbito (Leakage / Ativ. 4)</w:t>
            </w:r>
          </w:p>
        </w:tc>
        <w:tc>
          <w:tcPr>
            <w:tcW w:type="dxa" w:w="1440"/>
            <w:shd w:fill="F8FAFC"/>
            <w:tcMar>
              <w:top w:w="60" w:type="dxa"/>
              <w:bottom w:w="60" w:type="dxa"/>
              <w:left w:w="80" w:type="dxa"/>
              <w:right w:w="80" w:type="dxa"/>
            </w:tcMar>
          </w:tcPr>
          <w:p>
            <w:pPr>
              <w:spacing w:before="0" w:after="0" w:line="276" w:lineRule="auto"/>
              <w:jc w:val="center"/>
            </w:pPr>
            <w:r>
              <w:rPr>
                <w:rFonts w:ascii="Calibri" w:hAnsi="Calibri"/>
                <w:color w:val="1E293B"/>
                <w:sz w:val="17"/>
              </w:rPr>
              <w:t>4.095</w:t>
            </w:r>
          </w:p>
        </w:tc>
        <w:tc>
          <w:tcPr>
            <w:tcW w:type="dxa" w:w="1584"/>
            <w:shd w:fill="F8FAFC"/>
            <w:tcMar>
              <w:top w:w="60" w:type="dxa"/>
              <w:bottom w:w="60" w:type="dxa"/>
              <w:left w:w="80" w:type="dxa"/>
              <w:right w:w="80" w:type="dxa"/>
            </w:tcMar>
          </w:tcPr>
          <w:p>
            <w:pPr>
              <w:spacing w:before="0" w:after="0" w:line="276" w:lineRule="auto"/>
              <w:jc w:val="center"/>
            </w:pPr>
            <w:r>
              <w:rPr>
                <w:rFonts w:ascii="Calibri" w:hAnsi="Calibri"/>
                <w:color w:val="1E293B"/>
                <w:sz w:val="17"/>
              </w:rPr>
              <w:t>6 (0,15%)</w:t>
            </w:r>
          </w:p>
        </w:tc>
        <w:tc>
          <w:tcPr>
            <w:tcW w:type="dxa" w:w="1584"/>
            <w:shd w:fill="F8FAFC"/>
            <w:tcMar>
              <w:top w:w="60" w:type="dxa"/>
              <w:bottom w:w="60" w:type="dxa"/>
              <w:left w:w="80" w:type="dxa"/>
              <w:right w:w="80" w:type="dxa"/>
            </w:tcMar>
          </w:tcPr>
          <w:p>
            <w:pPr>
              <w:spacing w:before="0" w:after="0" w:line="276" w:lineRule="auto"/>
              <w:jc w:val="center"/>
            </w:pPr>
            <w:r>
              <w:rPr>
                <w:rFonts w:ascii="Calibri" w:hAnsi="Calibri"/>
                <w:color w:val="1E293B"/>
                <w:sz w:val="17"/>
              </w:rPr>
              <w:t>4.089 (99,85%)</w:t>
            </w:r>
          </w:p>
        </w:tc>
        <w:tc>
          <w:tcPr>
            <w:tcW w:type="dxa" w:w="1872"/>
            <w:shd w:fill="F8FAFC"/>
            <w:tcMar>
              <w:top w:w="60" w:type="dxa"/>
              <w:bottom w:w="60" w:type="dxa"/>
              <w:left w:w="80" w:type="dxa"/>
              <w:right w:w="80" w:type="dxa"/>
            </w:tcMar>
          </w:tcPr>
          <w:p>
            <w:pPr>
              <w:spacing w:before="0" w:after="0" w:line="276" w:lineRule="auto"/>
              <w:jc w:val="center"/>
            </w:pPr>
            <w:r>
              <w:rPr>
                <w:rFonts w:ascii="Calibri" w:hAnsi="Calibri"/>
                <w:color w:val="1E293B"/>
                <w:sz w:val="17"/>
              </w:rPr>
              <w:t>0,68% (Descartados)</w:t>
            </w:r>
          </w:p>
        </w:tc>
      </w:tr>
      <w:tr>
        <w:tc>
          <w:tcPr>
            <w:tcW w:type="dxa" w:w="3600"/>
            <w:shd w:fill="EDF2F7"/>
            <w:tcMar>
              <w:top w:w="60" w:type="dxa"/>
              <w:bottom w:w="60" w:type="dxa"/>
              <w:left w:w="80" w:type="dxa"/>
              <w:right w:w="80" w:type="dxa"/>
            </w:tcMar>
          </w:tcPr>
          <w:p>
            <w:pPr>
              <w:spacing w:before="0" w:after="0" w:line="276" w:lineRule="auto"/>
              <w:jc w:val="left"/>
            </w:pPr>
            <w:r>
              <w:rPr>
                <w:rFonts w:ascii="Calibri" w:hAnsi="Calibri"/>
                <w:b/>
                <w:color w:val="1E293B"/>
                <w:sz w:val="17"/>
              </w:rPr>
              <w:t>5. Coorte Final Limpa para Modelagem</w:t>
            </w:r>
          </w:p>
        </w:tc>
        <w:tc>
          <w:tcPr>
            <w:tcW w:type="dxa" w:w="1440"/>
            <w:shd w:fill="EDF2F7"/>
            <w:tcMar>
              <w:top w:w="60" w:type="dxa"/>
              <w:bottom w:w="60" w:type="dxa"/>
              <w:left w:w="80" w:type="dxa"/>
              <w:right w:w="80" w:type="dxa"/>
            </w:tcMar>
          </w:tcPr>
          <w:p>
            <w:pPr>
              <w:spacing w:before="0" w:after="0" w:line="276" w:lineRule="auto"/>
              <w:jc w:val="center"/>
            </w:pPr>
            <w:r>
              <w:rPr>
                <w:rFonts w:ascii="Calibri" w:hAnsi="Calibri"/>
                <w:b/>
                <w:color w:val="1E293B"/>
                <w:sz w:val="17"/>
              </w:rPr>
              <w:t>599.318</w:t>
            </w:r>
          </w:p>
        </w:tc>
        <w:tc>
          <w:tcPr>
            <w:tcW w:type="dxa" w:w="1584"/>
            <w:shd w:fill="EDF2F7"/>
            <w:tcMar>
              <w:top w:w="60" w:type="dxa"/>
              <w:bottom w:w="60" w:type="dxa"/>
              <w:left w:w="80" w:type="dxa"/>
              <w:right w:w="80" w:type="dxa"/>
            </w:tcMar>
          </w:tcPr>
          <w:p>
            <w:pPr>
              <w:spacing w:before="0" w:after="0" w:line="276" w:lineRule="auto"/>
              <w:jc w:val="center"/>
            </w:pPr>
            <w:r>
              <w:rPr>
                <w:rFonts w:ascii="Calibri" w:hAnsi="Calibri"/>
                <w:b/>
                <w:color w:val="1E293B"/>
                <w:sz w:val="17"/>
              </w:rPr>
              <w:t>568.774 (94,90%)</w:t>
            </w:r>
          </w:p>
        </w:tc>
        <w:tc>
          <w:tcPr>
            <w:tcW w:type="dxa" w:w="1584"/>
            <w:shd w:fill="EDF2F7"/>
            <w:tcMar>
              <w:top w:w="60" w:type="dxa"/>
              <w:bottom w:w="60" w:type="dxa"/>
              <w:left w:w="80" w:type="dxa"/>
              <w:right w:w="80" w:type="dxa"/>
            </w:tcMar>
          </w:tcPr>
          <w:p>
            <w:pPr>
              <w:spacing w:before="0" w:after="0" w:line="276" w:lineRule="auto"/>
              <w:jc w:val="center"/>
            </w:pPr>
            <w:r>
              <w:rPr>
                <w:rFonts w:ascii="Calibri" w:hAnsi="Calibri"/>
                <w:b/>
                <w:color w:val="1E293B"/>
                <w:sz w:val="17"/>
              </w:rPr>
              <w:t>30.544 (5,10%)</w:t>
            </w:r>
          </w:p>
        </w:tc>
        <w:tc>
          <w:tcPr>
            <w:tcW w:type="dxa" w:w="1872"/>
            <w:shd w:fill="EDF2F7"/>
            <w:tcMar>
              <w:top w:w="60" w:type="dxa"/>
              <w:bottom w:w="60" w:type="dxa"/>
              <w:left w:w="80" w:type="dxa"/>
              <w:right w:w="80" w:type="dxa"/>
            </w:tcMar>
          </w:tcPr>
          <w:p>
            <w:pPr>
              <w:spacing w:before="0" w:after="0" w:line="276" w:lineRule="auto"/>
              <w:jc w:val="center"/>
            </w:pPr>
            <w:r>
              <w:rPr>
                <w:rFonts w:ascii="Calibri" w:hAnsi="Calibri"/>
                <w:b/>
                <w:color w:val="1E293B"/>
                <w:sz w:val="17"/>
              </w:rPr>
              <w:t>99,32% da Coorte</w:t>
            </w:r>
          </w:p>
        </w:tc>
      </w:tr>
      <w:tr>
        <w:tc>
          <w:tcPr>
            <w:tcW w:type="dxa" w:w="3600"/>
            <w:shd w:fill="F8FAFC"/>
            <w:tcMar>
              <w:top w:w="60" w:type="dxa"/>
              <w:bottom w:w="60" w:type="dxa"/>
              <w:left w:w="80" w:type="dxa"/>
              <w:right w:w="80" w:type="dxa"/>
            </w:tcMar>
          </w:tcPr>
          <w:p>
            <w:pPr>
              <w:spacing w:before="0" w:after="0" w:line="276" w:lineRule="auto"/>
              <w:jc w:val="left"/>
            </w:pPr>
            <w:r>
              <w:rPr>
                <w:rFonts w:ascii="Calibri" w:hAnsi="Calibri"/>
                <w:b/>
                <w:color w:val="1E293B"/>
                <w:sz w:val="17"/>
              </w:rPr>
              <w:t>6. Partição de Treino (80,0% Estratificado)</w:t>
            </w:r>
          </w:p>
        </w:tc>
        <w:tc>
          <w:tcPr>
            <w:tcW w:type="dxa" w:w="1440"/>
            <w:shd w:fill="F8FAFC"/>
            <w:tcMar>
              <w:top w:w="60" w:type="dxa"/>
              <w:bottom w:w="60" w:type="dxa"/>
              <w:left w:w="80" w:type="dxa"/>
              <w:right w:w="80" w:type="dxa"/>
            </w:tcMar>
          </w:tcPr>
          <w:p>
            <w:pPr>
              <w:spacing w:before="0" w:after="0" w:line="276" w:lineRule="auto"/>
              <w:jc w:val="center"/>
            </w:pPr>
            <w:r>
              <w:rPr>
                <w:rFonts w:ascii="Calibri" w:hAnsi="Calibri"/>
                <w:color w:val="1E293B"/>
                <w:sz w:val="17"/>
              </w:rPr>
              <w:t>479.454</w:t>
            </w:r>
          </w:p>
        </w:tc>
        <w:tc>
          <w:tcPr>
            <w:tcW w:type="dxa" w:w="1584"/>
            <w:shd w:fill="F8FAFC"/>
            <w:tcMar>
              <w:top w:w="60" w:type="dxa"/>
              <w:bottom w:w="60" w:type="dxa"/>
              <w:left w:w="80" w:type="dxa"/>
              <w:right w:w="80" w:type="dxa"/>
            </w:tcMar>
          </w:tcPr>
          <w:p>
            <w:pPr>
              <w:spacing w:before="0" w:after="0" w:line="276" w:lineRule="auto"/>
              <w:jc w:val="center"/>
            </w:pPr>
            <w:r>
              <w:rPr>
                <w:rFonts w:ascii="Calibri" w:hAnsi="Calibri"/>
                <w:color w:val="1E293B"/>
                <w:sz w:val="17"/>
              </w:rPr>
              <w:t>455.019 (94,90%)</w:t>
            </w:r>
          </w:p>
        </w:tc>
        <w:tc>
          <w:tcPr>
            <w:tcW w:type="dxa" w:w="1584"/>
            <w:shd w:fill="F8FAFC"/>
            <w:tcMar>
              <w:top w:w="60" w:type="dxa"/>
              <w:bottom w:w="60" w:type="dxa"/>
              <w:left w:w="80" w:type="dxa"/>
              <w:right w:w="80" w:type="dxa"/>
            </w:tcMar>
          </w:tcPr>
          <w:p>
            <w:pPr>
              <w:spacing w:before="0" w:after="0" w:line="276" w:lineRule="auto"/>
              <w:jc w:val="center"/>
            </w:pPr>
            <w:r>
              <w:rPr>
                <w:rFonts w:ascii="Calibri" w:hAnsi="Calibri"/>
                <w:color w:val="1E293B"/>
                <w:sz w:val="17"/>
              </w:rPr>
              <w:t>24.435 (5,10%)</w:t>
            </w:r>
          </w:p>
        </w:tc>
        <w:tc>
          <w:tcPr>
            <w:tcW w:type="dxa" w:w="1872"/>
            <w:shd w:fill="F8FAFC"/>
            <w:tcMar>
              <w:top w:w="60" w:type="dxa"/>
              <w:bottom w:w="60" w:type="dxa"/>
              <w:left w:w="80" w:type="dxa"/>
              <w:right w:w="80" w:type="dxa"/>
            </w:tcMar>
          </w:tcPr>
          <w:p>
            <w:pPr>
              <w:spacing w:before="0" w:after="0" w:line="276" w:lineRule="auto"/>
              <w:jc w:val="center"/>
            </w:pPr>
            <w:r>
              <w:rPr>
                <w:rFonts w:ascii="Calibri" w:hAnsi="Calibri"/>
                <w:color w:val="1E293B"/>
                <w:sz w:val="17"/>
              </w:rPr>
              <w:t>80,00% da Coorte Limpa</w:t>
            </w:r>
          </w:p>
        </w:tc>
      </w:tr>
      <w:tr>
        <w:tc>
          <w:tcPr>
            <w:tcW w:type="dxa" w:w="3600"/>
            <w:shd w:fill="FFFFFF"/>
            <w:tcMar>
              <w:top w:w="60" w:type="dxa"/>
              <w:bottom w:w="60" w:type="dxa"/>
              <w:left w:w="80" w:type="dxa"/>
              <w:right w:w="80" w:type="dxa"/>
            </w:tcMar>
          </w:tcPr>
          <w:p>
            <w:pPr>
              <w:spacing w:before="0" w:after="0" w:line="276" w:lineRule="auto"/>
              <w:jc w:val="left"/>
            </w:pPr>
            <w:r>
              <w:rPr>
                <w:rFonts w:ascii="Calibri" w:hAnsi="Calibri"/>
                <w:b/>
                <w:color w:val="1E293B"/>
                <w:sz w:val="17"/>
              </w:rPr>
              <w:t>7. Partição de Teste (20,0% Rigorosamente Isolado)</w:t>
            </w:r>
          </w:p>
        </w:tc>
        <w:tc>
          <w:tcPr>
            <w:tcW w:type="dxa" w:w="1440"/>
            <w:shd w:fill="FFFFFF"/>
            <w:tcMar>
              <w:top w:w="60" w:type="dxa"/>
              <w:bottom w:w="60" w:type="dxa"/>
              <w:left w:w="80" w:type="dxa"/>
              <w:right w:w="80" w:type="dxa"/>
            </w:tcMar>
          </w:tcPr>
          <w:p>
            <w:pPr>
              <w:spacing w:before="0" w:after="0" w:line="276" w:lineRule="auto"/>
              <w:jc w:val="center"/>
            </w:pPr>
            <w:r>
              <w:rPr>
                <w:rFonts w:ascii="Calibri" w:hAnsi="Calibri"/>
                <w:color w:val="1E293B"/>
                <w:sz w:val="17"/>
              </w:rPr>
              <w:t>119.864</w:t>
            </w:r>
          </w:p>
        </w:tc>
        <w:tc>
          <w:tcPr>
            <w:tcW w:type="dxa" w:w="1584"/>
            <w:shd w:fill="FFFFFF"/>
            <w:tcMar>
              <w:top w:w="60" w:type="dxa"/>
              <w:bottom w:w="60" w:type="dxa"/>
              <w:left w:w="80" w:type="dxa"/>
              <w:right w:w="80" w:type="dxa"/>
            </w:tcMar>
          </w:tcPr>
          <w:p>
            <w:pPr>
              <w:spacing w:before="0" w:after="0" w:line="276" w:lineRule="auto"/>
              <w:jc w:val="center"/>
            </w:pPr>
            <w:r>
              <w:rPr>
                <w:rFonts w:ascii="Calibri" w:hAnsi="Calibri"/>
                <w:color w:val="1E293B"/>
                <w:sz w:val="17"/>
              </w:rPr>
              <w:t>113.755 (94,90%)</w:t>
            </w:r>
          </w:p>
        </w:tc>
        <w:tc>
          <w:tcPr>
            <w:tcW w:type="dxa" w:w="1584"/>
            <w:shd w:fill="FFFFFF"/>
            <w:tcMar>
              <w:top w:w="60" w:type="dxa"/>
              <w:bottom w:w="60" w:type="dxa"/>
              <w:left w:w="80" w:type="dxa"/>
              <w:right w:w="80" w:type="dxa"/>
            </w:tcMar>
          </w:tcPr>
          <w:p>
            <w:pPr>
              <w:spacing w:before="0" w:after="0" w:line="276" w:lineRule="auto"/>
              <w:jc w:val="center"/>
            </w:pPr>
            <w:r>
              <w:rPr>
                <w:rFonts w:ascii="Calibri" w:hAnsi="Calibri"/>
                <w:color w:val="1E293B"/>
                <w:sz w:val="17"/>
              </w:rPr>
              <w:t>6.109 (5,10%)</w:t>
            </w:r>
          </w:p>
        </w:tc>
        <w:tc>
          <w:tcPr>
            <w:tcW w:type="dxa" w:w="1872"/>
            <w:shd w:fill="FFFFFF"/>
            <w:tcMar>
              <w:top w:w="60" w:type="dxa"/>
              <w:bottom w:w="60" w:type="dxa"/>
              <w:left w:w="80" w:type="dxa"/>
              <w:right w:w="80" w:type="dxa"/>
            </w:tcMar>
          </w:tcPr>
          <w:p>
            <w:pPr>
              <w:spacing w:before="0" w:after="0" w:line="276" w:lineRule="auto"/>
              <w:jc w:val="center"/>
            </w:pPr>
            <w:r>
              <w:rPr>
                <w:rFonts w:ascii="Calibri" w:hAnsi="Calibri"/>
                <w:color w:val="1E293B"/>
                <w:sz w:val="17"/>
              </w:rPr>
              <w:t>20,00% da Coorte Limpa</w:t>
            </w:r>
          </w:p>
        </w:tc>
      </w:tr>
      <w:tr>
        <w:tc>
          <w:tcPr>
            <w:tcW w:type="dxa" w:w="3600"/>
            <w:shd w:fill="EDF2F7"/>
            <w:tcMar>
              <w:top w:w="60" w:type="dxa"/>
              <w:bottom w:w="60" w:type="dxa"/>
              <w:left w:w="80" w:type="dxa"/>
              <w:right w:w="80" w:type="dxa"/>
            </w:tcMar>
          </w:tcPr>
          <w:p>
            <w:pPr>
              <w:spacing w:before="0" w:after="0" w:line="276" w:lineRule="auto"/>
              <w:jc w:val="left"/>
            </w:pPr>
            <w:r>
              <w:rPr>
                <w:rFonts w:ascii="Calibri" w:hAnsi="Calibri"/>
                <w:b/>
                <w:color w:val="1E293B"/>
                <w:sz w:val="17"/>
              </w:rPr>
              <w:t>8. Treino Balanceado por RUS 1:1</w:t>
            </w:r>
          </w:p>
        </w:tc>
        <w:tc>
          <w:tcPr>
            <w:tcW w:type="dxa" w:w="1440"/>
            <w:shd w:fill="EDF2F7"/>
            <w:tcMar>
              <w:top w:w="60" w:type="dxa"/>
              <w:bottom w:w="60" w:type="dxa"/>
              <w:left w:w="80" w:type="dxa"/>
              <w:right w:w="80" w:type="dxa"/>
            </w:tcMar>
          </w:tcPr>
          <w:p>
            <w:pPr>
              <w:spacing w:before="0" w:after="0" w:line="276" w:lineRule="auto"/>
              <w:jc w:val="center"/>
            </w:pPr>
            <w:r>
              <w:rPr>
                <w:rFonts w:ascii="Calibri" w:hAnsi="Calibri"/>
                <w:b/>
                <w:color w:val="1E293B"/>
                <w:sz w:val="17"/>
              </w:rPr>
              <w:t>48.870</w:t>
            </w:r>
          </w:p>
        </w:tc>
        <w:tc>
          <w:tcPr>
            <w:tcW w:type="dxa" w:w="1584"/>
            <w:shd w:fill="EDF2F7"/>
            <w:tcMar>
              <w:top w:w="60" w:type="dxa"/>
              <w:bottom w:w="60" w:type="dxa"/>
              <w:left w:w="80" w:type="dxa"/>
              <w:right w:w="80" w:type="dxa"/>
            </w:tcMar>
          </w:tcPr>
          <w:p>
            <w:pPr>
              <w:spacing w:before="0" w:after="0" w:line="276" w:lineRule="auto"/>
              <w:jc w:val="center"/>
            </w:pPr>
            <w:r>
              <w:rPr>
                <w:rFonts w:ascii="Calibri" w:hAnsi="Calibri"/>
                <w:b/>
                <w:color w:val="1E293B"/>
                <w:sz w:val="17"/>
              </w:rPr>
              <w:t>24.435 (50,00%)</w:t>
            </w:r>
          </w:p>
        </w:tc>
        <w:tc>
          <w:tcPr>
            <w:tcW w:type="dxa" w:w="1584"/>
            <w:shd w:fill="EDF2F7"/>
            <w:tcMar>
              <w:top w:w="60" w:type="dxa"/>
              <w:bottom w:w="60" w:type="dxa"/>
              <w:left w:w="80" w:type="dxa"/>
              <w:right w:w="80" w:type="dxa"/>
            </w:tcMar>
          </w:tcPr>
          <w:p>
            <w:pPr>
              <w:spacing w:before="0" w:after="0" w:line="276" w:lineRule="auto"/>
              <w:jc w:val="center"/>
            </w:pPr>
            <w:r>
              <w:rPr>
                <w:rFonts w:ascii="Calibri" w:hAnsi="Calibri"/>
                <w:b/>
                <w:color w:val="1E293B"/>
                <w:sz w:val="17"/>
              </w:rPr>
              <w:t>24.435 (50,00%)</w:t>
            </w:r>
          </w:p>
        </w:tc>
        <w:tc>
          <w:tcPr>
            <w:tcW w:type="dxa" w:w="1872"/>
            <w:shd w:fill="EDF2F7"/>
            <w:tcMar>
              <w:top w:w="60" w:type="dxa"/>
              <w:bottom w:w="60" w:type="dxa"/>
              <w:left w:w="80" w:type="dxa"/>
              <w:right w:w="80" w:type="dxa"/>
            </w:tcMar>
          </w:tcPr>
          <w:p>
            <w:pPr>
              <w:spacing w:before="0" w:after="0" w:line="276" w:lineRule="auto"/>
              <w:jc w:val="center"/>
            </w:pPr>
            <w:r>
              <w:rPr>
                <w:rFonts w:ascii="Calibri" w:hAnsi="Calibri"/>
                <w:b/>
                <w:color w:val="1E293B"/>
                <w:sz w:val="17"/>
              </w:rPr>
              <w:t>Amostra Balanceada</w:t>
            </w:r>
          </w:p>
        </w:tc>
      </w:tr>
    </w:tbl>
    <w:p>
      <w:pPr>
        <w:pStyle w:val="Heading1"/>
        <w:keepNext/>
        <w:spacing w:before="320" w:after="120"/>
      </w:pPr>
      <w:r>
        <w:rPr>
          <w:rFonts w:ascii="Calibri" w:hAnsi="Calibri"/>
          <w:b/>
          <w:color w:val="1B365D"/>
          <w:sz w:val="28"/>
        </w:rPr>
        <w:t>2. Fundamentação Legal e Demográfica da Discretização da Idade</w:t>
      </w:r>
    </w:p>
    <w:p>
      <w:pPr>
        <w:spacing w:before="0" w:after="120" w:line="276" w:lineRule="auto"/>
        <w:jc w:val="both"/>
      </w:pPr>
      <w:r>
        <w:t>A idade cronológica bruta em anos (</w:t>
      </w:r>
      <w:r>
        <w:rPr>
          <w:b/>
        </w:rPr>
        <w:t>IDADE_ANOS</w:t>
      </w:r>
      <w:r>
        <w:t>), quando mantida como variável contínua estrita, embute ruídos de notificação e relações não lineares complexas com o prognóstico da tuberculose (letalidade mínima na infância e adolescência, platô na idade adulta e crescimento exponencial na senescência). Em consonância com as diretrizes do projeto e os marcos jurídicos vigentes no ordenamento brasileiro, procedeu-se à discretização em três classes oficiais e uma categoria sentinela:</w:t>
      </w:r>
    </w:p>
    <w:p>
      <w:pPr>
        <w:pStyle w:val="Heading2"/>
        <w:keepNext/>
        <w:spacing w:before="240" w:after="80"/>
      </w:pPr>
      <w:r>
        <w:rPr>
          <w:rFonts w:ascii="Calibri" w:hAnsi="Calibri"/>
          <w:b/>
          <w:color w:val="2B547E"/>
          <w:sz w:val="24"/>
        </w:rPr>
        <w:t>2.1 Jovens (0 a 19 anos)</w:t>
      </w:r>
    </w:p>
    <w:p>
      <w:pPr>
        <w:spacing w:before="0" w:after="120" w:line="276" w:lineRule="auto"/>
        <w:jc w:val="both"/>
      </w:pPr>
      <w:r>
        <w:rPr>
          <w:b/>
        </w:rPr>
        <w:t>• Fundamentação Legal Nacional:</w:t>
        <w:br/>
      </w:r>
      <w:r>
        <w:t xml:space="preserve">  - </w:t>
      </w:r>
      <w:r>
        <w:rPr>
          <w:b/>
        </w:rPr>
        <w:t>Lei Federal nº 8.069, de 13 de julho de 1990</w:t>
      </w:r>
      <w:r>
        <w:t xml:space="preserve"> (Estatuto da Criança e do Adolescente - ECA): Define em seu Artigo 2º a criança como a pessoa até doze anos de idade incompletos e o adolescente como aquela entre doze e dezoito anos de idade.</w:t>
        <w:br/>
      </w:r>
      <w:r>
        <w:t xml:space="preserve">  - </w:t>
      </w:r>
      <w:r>
        <w:rPr>
          <w:b/>
        </w:rPr>
        <w:t>Lei Federal nº 12.852, de 5 de agosto de 2013</w:t>
      </w:r>
      <w:r>
        <w:t xml:space="preserve"> (Estatuto da Juventude): Estabelece em seu Artigo 1º que são consideradas jovens as pessoas com idade entre 15 e 29 anos.</w:t>
      </w:r>
    </w:p>
    <w:p>
      <w:pPr>
        <w:spacing w:before="0" w:after="120" w:line="276" w:lineRule="auto"/>
        <w:jc w:val="both"/>
      </w:pPr>
      <w:r>
        <w:rPr>
          <w:b/>
        </w:rPr>
        <w:t>• Convenção Internacional (OMS/IBGE):</w:t>
        <w:br/>
      </w:r>
      <w:r>
        <w:t xml:space="preserve">  - A Organização Mundial da Saúde (OMS, </w:t>
      </w:r>
      <w:r>
        <w:rPr>
          <w:i/>
        </w:rPr>
        <w:t>Recognizing adolescence</w:t>
      </w:r>
      <w:r>
        <w:t>, 2014) padroniza internacionalmente a adolescência e juventude precoce na faixa de 10 a 19 anos completos.</w:t>
        <w:br/>
      </w:r>
      <w:r>
        <w:t xml:space="preserve">  - O Instituto Brasileiro de Geografia e Estatística (IBGE) agrega tradicionalmente os estratos demográficos quinquenais de 0 a 4, 5 a 9, 10 a 14 e 15 a 19 anos como a população jovem dependente pré-adulta.</w:t>
      </w:r>
    </w:p>
    <w:p>
      <w:pPr>
        <w:spacing w:before="0" w:after="120" w:line="276" w:lineRule="auto"/>
        <w:jc w:val="both"/>
      </w:pPr>
      <w:r>
        <w:rPr>
          <w:b/>
        </w:rPr>
        <w:t xml:space="preserve">• Comportamento Clínico: </w:t>
      </w:r>
      <w:r>
        <w:t>Apresenta predominantemente formas paucibacilares primárias e resposta tecidual imunológica preservada, refletindo-se na menor taxa de letalidade observada na coorte (</w:t>
      </w:r>
      <w:r>
        <w:rPr>
          <w:b/>
        </w:rPr>
        <w:t>1,28%</w:t>
      </w:r>
      <w:r>
        <w:t xml:space="preserve"> no treino).</w:t>
      </w:r>
    </w:p>
    <w:p>
      <w:pPr>
        <w:pStyle w:val="Heading2"/>
        <w:keepNext/>
        <w:spacing w:before="240" w:after="80"/>
      </w:pPr>
      <w:r>
        <w:rPr>
          <w:rFonts w:ascii="Calibri" w:hAnsi="Calibri"/>
          <w:b/>
          <w:color w:val="2B547E"/>
          <w:sz w:val="24"/>
        </w:rPr>
        <w:t>2.2 Adultos (20 a 59 anos)</w:t>
      </w:r>
    </w:p>
    <w:p>
      <w:pPr>
        <w:spacing w:before="0" w:after="120" w:line="276" w:lineRule="auto"/>
        <w:jc w:val="both"/>
      </w:pPr>
      <w:r>
        <w:rPr>
          <w:b/>
        </w:rPr>
        <w:t>• Fundamentação Demográfica e Sanitária:</w:t>
        <w:br/>
      </w:r>
      <w:r>
        <w:t xml:space="preserve">  - Padrão estabelecido pelo Ministério da Saúde e pelo IBGE para delimitação da População em Idade Ativa (PIA) e vigilância epidemiológica contínua em inquéritos populacionais (Vigitel, Pesquisa Nacional de Saúde - PNS).</w:t>
      </w:r>
    </w:p>
    <w:p>
      <w:pPr>
        <w:spacing w:before="0" w:after="120" w:line="276" w:lineRule="auto"/>
        <w:jc w:val="both"/>
      </w:pPr>
      <w:r>
        <w:rPr>
          <w:b/>
        </w:rPr>
        <w:t xml:space="preserve">• Comportamento Clínico: </w:t>
      </w:r>
      <w:r>
        <w:t>Estrato de maior circulação comunitária e exposição cumulativa a determinantes sociais e comorbidades comportamentais (etilismo, uso de drogas ilícitas, privação de liberdade, tabagismo e coinfecção pelo HIV), manifestando letalidade intermediária (</w:t>
      </w:r>
      <w:r>
        <w:rPr>
          <w:b/>
        </w:rPr>
        <w:t>4,07%</w:t>
      </w:r>
      <w:r>
        <w:t xml:space="preserve"> no treino).</w:t>
      </w:r>
    </w:p>
    <w:p>
      <w:pPr>
        <w:pStyle w:val="Heading2"/>
        <w:keepNext/>
        <w:spacing w:before="240" w:after="80"/>
      </w:pPr>
      <w:r>
        <w:rPr>
          <w:rFonts w:ascii="Calibri" w:hAnsi="Calibri"/>
          <w:b/>
          <w:color w:val="2B547E"/>
          <w:sz w:val="24"/>
        </w:rPr>
        <w:t>2.3 Idosos (60 anos ou mais)</w:t>
      </w:r>
    </w:p>
    <w:p>
      <w:pPr>
        <w:spacing w:before="0" w:after="120" w:line="276" w:lineRule="auto"/>
        <w:jc w:val="both"/>
      </w:pPr>
      <w:r>
        <w:rPr>
          <w:b/>
        </w:rPr>
        <w:t>• Fundamentação Legal Nacional:</w:t>
        <w:br/>
      </w:r>
      <w:r>
        <w:t xml:space="preserve">  - </w:t>
      </w:r>
      <w:r>
        <w:rPr>
          <w:b/>
        </w:rPr>
        <w:t>Lei Federal nº 10.741, de 1º de outubro de 2003</w:t>
      </w:r>
      <w:r>
        <w:t xml:space="preserve"> (Estatuto da Pessoa Idosa, com redação atualizada pela Lei Federal nº 14.423, de 22 de julho de 2022): Dispõe expressamente em seu Artigo 1º que a pessoa idosa é aquela com idade igual ou superior a 60 (sessenta) anos.</w:t>
        <w:br/>
      </w:r>
      <w:r>
        <w:t xml:space="preserve">  - </w:t>
      </w:r>
      <w:r>
        <w:rPr>
          <w:b/>
        </w:rPr>
        <w:t>Lei Federal nº 8.842, de 4 de janeiro de 1994</w:t>
      </w:r>
      <w:r>
        <w:t xml:space="preserve"> (Política Nacional do Idoso): Fixa em seu Artigo 2º o marco cronológico de 60 anos para elegibilidade a políticas de proteção social e saúde.</w:t>
      </w:r>
    </w:p>
    <w:p>
      <w:pPr>
        <w:spacing w:before="0" w:after="120" w:line="276" w:lineRule="auto"/>
        <w:jc w:val="both"/>
      </w:pPr>
      <w:r>
        <w:rPr>
          <w:b/>
        </w:rPr>
        <w:t>• Referência Internacional:</w:t>
        <w:br/>
      </w:r>
      <w:r>
        <w:t xml:space="preserve">  - A Organização Mundial da Saúde (OMS, </w:t>
      </w:r>
      <w:r>
        <w:rPr>
          <w:i/>
        </w:rPr>
        <w:t>Active ageing: a policy framework</w:t>
      </w:r>
      <w:r>
        <w:t>, 2002) adota a linha de corte cronológica de 60 anos para definição de pessoas idosas em países em desenvolvimento.</w:t>
      </w:r>
    </w:p>
    <w:p>
      <w:pPr>
        <w:spacing w:before="0" w:after="120" w:line="276" w:lineRule="auto"/>
        <w:jc w:val="both"/>
      </w:pPr>
      <w:r>
        <w:rPr>
          <w:b/>
        </w:rPr>
        <w:t xml:space="preserve">• Comportamento Clínico: </w:t>
      </w:r>
      <w:r>
        <w:t xml:space="preserve">Estrato de vulnerabilidade biológica extrema decorrente do fenômeno da imunossenescência (degradação fisiológica da imunidade mediada por linfócitos T), elevada taxa de reativação endógena de focos latentes e presença de multimorbidades crônicas cardiovasculares, metabólicas e pulmonares. A taxa de letalidade atinge </w:t>
      </w:r>
      <w:r>
        <w:rPr>
          <w:b/>
        </w:rPr>
        <w:t>12,11%</w:t>
      </w:r>
      <w:r>
        <w:t xml:space="preserve"> no treino, sendo quase dez vezes superior à de jovens.</w:t>
      </w:r>
    </w:p>
    <w:p>
      <w:pPr>
        <w:pStyle w:val="Heading2"/>
        <w:keepNext/>
        <w:spacing w:before="240" w:after="80"/>
      </w:pPr>
      <w:r>
        <w:rPr>
          <w:rFonts w:ascii="Calibri" w:hAnsi="Calibri"/>
          <w:b/>
          <w:color w:val="2B547E"/>
          <w:sz w:val="24"/>
        </w:rPr>
        <w:t>2.4 Categoria 'Faltante': Justificativa Estatística e Teoria de Little &amp; Rubin</w:t>
      </w:r>
    </w:p>
    <w:p>
      <w:pPr>
        <w:spacing w:before="0" w:after="120" w:line="276" w:lineRule="auto"/>
        <w:jc w:val="both"/>
      </w:pPr>
      <w:r>
        <w:t xml:space="preserve">A idade cronológica bruta não constava ou apresentava valor sentinela não resolvido em apenas </w:t>
      </w:r>
      <w:r>
        <w:rPr>
          <w:b/>
        </w:rPr>
        <w:t>144 casos no conjunto de treino</w:t>
      </w:r>
      <w:r>
        <w:t xml:space="preserve"> (N = 479.454, correspondendo a exatamente </w:t>
      </w:r>
      <w:r>
        <w:rPr>
          <w:b/>
        </w:rPr>
        <w:t>0,030%</w:t>
      </w:r>
      <w:r>
        <w:t xml:space="preserve"> da partição) e </w:t>
      </w:r>
      <w:r>
        <w:rPr>
          <w:b/>
        </w:rPr>
        <w:t>36 casos no teste</w:t>
      </w:r>
      <w:r>
        <w:t xml:space="preserve"> (N = 119.864, </w:t>
      </w:r>
      <w:r>
        <w:rPr>
          <w:b/>
        </w:rPr>
        <w:t>0,030%</w:t>
      </w:r>
      <w:r>
        <w:t>). A decisão de manter esses registros sob a categoria explícita 'Faltante' — em vez de descartar as linhas ou imputar valores sintéticos — apoia-se em sólidos fundamentos teóricos, metodológicos e epidemiológicos:</w:t>
      </w:r>
    </w:p>
    <w:p>
      <w:pPr>
        <w:spacing w:before="80" w:after="40" w:line="276" w:lineRule="auto"/>
        <w:jc w:val="both"/>
      </w:pPr>
      <w:r>
        <w:rPr>
          <w:b/>
        </w:rPr>
        <w:t>1. Taxonomia dos Mecanismos de Ausência (Little &amp; Rubin, 2002, 2019):</w:t>
        <w:br/>
      </w:r>
      <w:r>
        <w:t>Na teoria clássica de análise estatística com dados faltantes (</w:t>
      </w:r>
      <w:r>
        <w:rPr>
          <w:i/>
        </w:rPr>
        <w:t>Missing Data</w:t>
      </w:r>
      <w:r>
        <w:t>) formulada por Roderick J. A. Little e Donald B. Rubin, os mecanismos geradores de incompletude são classificados formalmente em três regimes:</w:t>
      </w:r>
    </w:p>
    <w:p>
      <w:pPr>
        <w:spacing w:before="40" w:after="20" w:line="276" w:lineRule="auto"/>
        <w:jc w:val="left"/>
      </w:pPr>
      <w:r>
        <w:rPr>
          <w:b/>
        </w:rPr>
        <w:t xml:space="preserve">• MCAR (Missing Completely at Random / Faltante Completamente ao Acaso): </w:t>
      </w:r>
      <w:r>
        <w:t>A probabilidade de ausência é totalmente independente tanto dos valores observados quanto dos valores faltantes na matriz de dados:</w:t>
      </w:r>
    </w:p>
    <w:p>
      <w:pPr>
        <w:spacing w:before="40" w:after="80" w:line="276" w:lineRule="auto"/>
        <w:jc w:val="center"/>
      </w:pPr>
      <m:oMathPara>
        <m:oMath>
          <m:r>
            <m:t>P(M | </m:t>
          </m:r>
          <m:sSub>
            <m:e>
              <m:r>
                <m:t>Y</m:t>
              </m:r>
            </m:e>
            <m:sub>
              <m:r>
                <m:t>obs</m:t>
              </m:r>
            </m:sub>
          </m:sSub>
          <m:r>
            <m:t>, </m:t>
          </m:r>
          <m:sSub>
            <m:e>
              <m:r>
                <m:t>Y</m:t>
              </m:r>
            </m:e>
            <m:sub>
              <m:r>
                <m:t>mis</m:t>
              </m:r>
            </m:sub>
          </m:sSub>
          <m:r>
            <m:t>) = P(M)</m:t>
          </m:r>
        </m:oMath>
      </m:oMathPara>
    </w:p>
    <w:p>
      <w:pPr>
        <w:spacing w:before="40" w:after="20" w:line="276" w:lineRule="auto"/>
        <w:jc w:val="left"/>
      </w:pPr>
      <w:r>
        <w:rPr>
          <w:b/>
        </w:rPr>
        <w:t xml:space="preserve">• MAR (Missing at Random / Faltante ao Acaso): </w:t>
      </w:r>
      <w:r>
        <w:t>A probabilidade de ausência depende das variáveis observadas no banco de dados, mas não do valor não observado da própria variável em si:</w:t>
      </w:r>
    </w:p>
    <w:p>
      <w:pPr>
        <w:spacing w:before="40" w:after="80" w:line="276" w:lineRule="auto"/>
        <w:jc w:val="center"/>
      </w:pPr>
      <m:oMathPara>
        <m:oMath>
          <m:r>
            <m:t>P(M | </m:t>
          </m:r>
          <m:sSub>
            <m:e>
              <m:r>
                <m:t>Y</m:t>
              </m:r>
            </m:e>
            <m:sub>
              <m:r>
                <m:t>obs</m:t>
              </m:r>
            </m:sub>
          </m:sSub>
          <m:r>
            <m:t>, </m:t>
          </m:r>
          <m:sSub>
            <m:e>
              <m:r>
                <m:t>Y</m:t>
              </m:r>
            </m:e>
            <m:sub>
              <m:r>
                <m:t>mis</m:t>
              </m:r>
            </m:sub>
          </m:sSub>
          <m:r>
            <m:t>) = P(M | </m:t>
          </m:r>
          <m:sSub>
            <m:e>
              <m:r>
                <m:t>Y</m:t>
              </m:r>
            </m:e>
            <m:sub>
              <m:r>
                <m:t>obs</m:t>
              </m:r>
            </m:sub>
          </m:sSub>
          <m:r>
            <m:t>)</m:t>
          </m:r>
        </m:oMath>
      </m:oMathPara>
    </w:p>
    <w:p>
      <w:pPr>
        <w:spacing w:before="40" w:after="20" w:line="276" w:lineRule="auto"/>
        <w:jc w:val="left"/>
      </w:pPr>
      <w:r>
        <w:rPr>
          <w:b/>
        </w:rPr>
        <w:t xml:space="preserve">• MNAR (Missing Not at Random / Não Ignorável): </w:t>
      </w:r>
      <w:r>
        <w:t>A probabilidade de ausência depende diretamente do valor oculto não observado ou de fatores de risco clínicos latentes:</w:t>
      </w:r>
    </w:p>
    <w:p>
      <w:pPr>
        <w:spacing w:before="40" w:after="80" w:line="276" w:lineRule="auto"/>
        <w:jc w:val="center"/>
      </w:pPr>
      <m:oMathPara>
        <m:oMath>
          <m:r>
            <m:t>P(M | </m:t>
          </m:r>
          <m:sSub>
            <m:e>
              <m:r>
                <m:t>Y</m:t>
              </m:r>
            </m:e>
            <m:sub>
              <m:r>
                <m:t>obs</m:t>
              </m:r>
            </m:sub>
          </m:sSub>
          <m:r>
            <m:t>, </m:t>
          </m:r>
          <m:sSub>
            <m:e>
              <m:r>
                <m:t>Y</m:t>
              </m:r>
            </m:e>
            <m:sub>
              <m:r>
                <m:t>mis</m:t>
              </m:r>
            </m:sub>
          </m:sSub>
          <m:r>
            <m:t>) ≠ P(M | </m:t>
          </m:r>
          <m:sSub>
            <m:e>
              <m:r>
                <m:t>Y</m:t>
              </m:r>
            </m:e>
            <m:sub>
              <m:r>
                <m:t>obs</m:t>
              </m:r>
            </m:sub>
          </m:sSub>
          <m:r>
            <m:t>)</m:t>
          </m:r>
        </m:oMath>
      </m:oMathPara>
    </w:p>
    <w:p>
      <w:pPr>
        <w:spacing w:before="0" w:after="120" w:line="276" w:lineRule="auto"/>
        <w:jc w:val="both"/>
      </w:pPr>
      <w:r>
        <w:rPr>
          <w:b/>
        </w:rPr>
        <w:t xml:space="preserve">• Ausência Informativa (Informative Missingness) no SINAN: </w:t>
      </w:r>
      <w:r>
        <w:t>Na vigilância epidemiológica do SUS, a omissão de dados cadastrais essenciais raramente ocorre ao acaso estrito (o que violaria a hipótese de MCAR). Pacientes sem registro de idade frequentemente pertencem a estratos de extrema vulnerabilidade biopsicossocial (população em situação de rua sem documentação civil, usuários crônicos de substâncias psicoativas, pacientes admitidos em estado crítico de inconsciência ou choque séptico sem acompanhante). Portanto, o próprio fato de a idade estar ausente carrega significado prognóstico (</w:t>
      </w:r>
      <w:r>
        <w:rPr>
          <w:i/>
        </w:rPr>
        <w:t>missingness as a signal</w:t>
      </w:r>
      <w:r>
        <w:t>), enquadrando o fenômeno sob os regimes MAR ou MNAR.</w:t>
      </w:r>
    </w:p>
    <w:p>
      <w:pPr>
        <w:spacing w:before="0" w:after="120" w:line="276" w:lineRule="auto"/>
        <w:jc w:val="both"/>
      </w:pPr>
      <w:r>
        <w:rPr>
          <w:b/>
        </w:rPr>
        <w:t>2. Inadequação da Imputação Univariada Simples (Média/Mediana):</w:t>
        <w:br/>
      </w:r>
      <w:r>
        <w:t>A prática de preencher dados faltantes pela média ou mediana amostral (por exemplo, imputar a mediana de 38 anos, o que classificaria compulsoriamente os pacientes como 'Adultos'), embora corriqueira em rotinas ingênuas, apresenta graves restrições formais (Rubin, 1987; Little &amp; Rubin, 2019):</w:t>
        <w:br/>
      </w:r>
      <w:r>
        <w:t xml:space="preserve">  - </w:t>
      </w:r>
      <w:r>
        <w:rPr>
          <w:b/>
        </w:rPr>
        <w:t>Atenuação e Distorção de Variância:</w:t>
      </w:r>
      <w:r>
        <w:t xml:space="preserve"> A imputação determinística pontual cria 'dados artificiais' sem erro aleatório, provocando atenuação espúria da variância e covariância e subestimando os erros-padrão nas análises subsequentes.</w:t>
        <w:br/>
      </w:r>
      <w:r>
        <w:t xml:space="preserve">  - </w:t>
      </w:r>
      <w:r>
        <w:rPr>
          <w:b/>
        </w:rPr>
        <w:t>Máscara sobre a Vulnerabilidade:</w:t>
      </w:r>
      <w:r>
        <w:t xml:space="preserve"> A taxa de letalidade observada empiricamente no grupo de idade 'Faltante' no treino é de </w:t>
      </w:r>
      <w:r>
        <w:rPr>
          <w:b/>
        </w:rPr>
        <w:t>4,17%</w:t>
      </w:r>
      <w:r>
        <w:t xml:space="preserve"> (6 óbitos em 144 casos). Diluir esses pacientes no contingente de adultos mascararia uma potencial falha cadastral associada a desfechos desfavoráveis.</w:t>
      </w:r>
    </w:p>
    <w:p>
      <w:pPr>
        <w:spacing w:before="0" w:after="120" w:line="276" w:lineRule="auto"/>
        <w:jc w:val="both"/>
      </w:pPr>
      <w:r>
        <w:rPr>
          <w:b/>
        </w:rPr>
        <w:t>3. Inadmissibilidade do Descarte de Linhas (Complete-Case Analysis / Listwise Deletion):</w:t>
        <w:br/>
      </w:r>
      <w:r>
        <w:t>A exclusão sumária de linhas incompletas acarretaria desperdício de registros reais de tuberculose e perda de casos raros de óbito, além de introduzir viés de atrito (</w:t>
      </w:r>
      <w:r>
        <w:rPr>
          <w:i/>
        </w:rPr>
        <w:t>attrition bias</w:t>
      </w:r>
      <w:r>
        <w:t>) caso a ausência seja não aleatória (Little &amp; Rubin, 2019). Manter as linhas com a marcação formal atende plenamente ao princípio do projeto de não descartar observações clínicas legítimas.</w:t>
      </w:r>
    </w:p>
    <w:p>
      <w:pPr>
        <w:spacing w:before="0" w:after="120" w:line="276" w:lineRule="auto"/>
        <w:jc w:val="both"/>
      </w:pPr>
      <w:r>
        <w:rPr>
          <w:b/>
        </w:rPr>
        <w:t>4. Vantagens do Missing-Category Approach para Modelagem Baseada em Árvores:</w:t>
        <w:br/>
      </w:r>
      <w:r>
        <w:t>Modelos baseados em partição recursiva (</w:t>
      </w:r>
      <w:r>
        <w:rPr>
          <w:i/>
        </w:rPr>
        <w:t>Decision Trees, Random Forest, Gradient Boosting / LightGBM</w:t>
      </w:r>
      <w:r>
        <w:t>) processam nativamente variáveis categóricas com classes dedicadas a dados faltantes (Breiman et al., 1984; Hastie, Tibshirani &amp; Friedman, 2009). O algoritmo tem a faculdade de direcionar instâncias com valor ausente para ramificações específicas sem sofrer distorções de escala contínua.</w:t>
        <w:br/>
      </w:r>
      <w:r>
        <w:t xml:space="preserve">  - </w:t>
      </w:r>
      <w:r>
        <w:rPr>
          <w:b/>
        </w:rPr>
        <w:t>Ausência Negligenciável e Limite de Risco:</w:t>
      </w:r>
      <w:r>
        <w:t xml:space="preserve"> Por representar apenas </w:t>
      </w:r>
      <w:r>
        <w:rPr>
          <w:b/>
        </w:rPr>
        <w:t>0,03%</w:t>
      </w:r>
      <w:r>
        <w:t xml:space="preserve"> das partições de treino e teste, a fração de dados faltantes situa-se amplamente abaixo dos limiares de tolerância teórica (que costumam admitir até 5% sem comprometimento assintótico), assegurando que o tratamento adotado preserva integralmente a validade interna do modelo.</w:t>
      </w:r>
    </w:p>
    <w:p>
      <w:pPr>
        <w:pStyle w:val="Heading1"/>
        <w:keepNext/>
        <w:spacing w:before="320" w:after="120"/>
      </w:pPr>
      <w:r>
        <w:rPr>
          <w:rFonts w:ascii="Calibri" w:hAnsi="Calibri"/>
          <w:b/>
          <w:color w:val="1B365D"/>
          <w:sz w:val="28"/>
        </w:rPr>
        <w:t>3. Escolhas Metodológicas e Prevenção Estrita de Vazamento (Data Leakage)</w:t>
      </w:r>
    </w:p>
    <w:p>
      <w:pPr>
        <w:pStyle w:val="Heading2"/>
        <w:keepNext/>
        <w:spacing w:before="240" w:after="80"/>
      </w:pPr>
      <w:r>
        <w:rPr>
          <w:rFonts w:ascii="Calibri" w:hAnsi="Calibri"/>
          <w:b/>
          <w:color w:val="2B547E"/>
          <w:sz w:val="24"/>
        </w:rPr>
        <w:t>3.1 Exclusão dos Casos de Entrada Pós-Óbito (Prevenção de Target Leakage)</w:t>
      </w:r>
    </w:p>
    <w:p>
      <w:pPr>
        <w:spacing w:before="0" w:after="120" w:line="276" w:lineRule="auto"/>
        <w:jc w:val="both"/>
      </w:pPr>
      <w:r>
        <w:t xml:space="preserve">Na base de dados do SINAN, a variável </w:t>
      </w:r>
      <w:r>
        <w:rPr>
          <w:b/>
        </w:rPr>
        <w:t>TRATAMENTO</w:t>
      </w:r>
      <w:r>
        <w:t xml:space="preserve"> discrimina o tipo de ingresso no sistema de notificação. A inspeção minuciosa dos 603.413 registros revelou a existência de </w:t>
      </w:r>
      <w:r>
        <w:rPr>
          <w:b/>
        </w:rPr>
        <w:t>4.095 casos com TRATAMENTO == 'Pós-óbito'</w:t>
      </w:r>
      <w:r>
        <w:t>.</w:t>
      </w:r>
    </w:p>
    <w:p>
      <w:pPr>
        <w:spacing w:before="0" w:after="120" w:line="276" w:lineRule="auto"/>
        <w:jc w:val="both"/>
      </w:pPr>
      <w:r>
        <w:t xml:space="preserve">O cruzamento de contingência demonstrou que, dos 4.095 registros categorizados como 'Pós-óbito', </w:t>
      </w:r>
      <w:r>
        <w:rPr>
          <w:b/>
        </w:rPr>
        <w:t>4.089 evoluíram com Óbito por TB (99,85%)</w:t>
      </w:r>
      <w:r>
        <w:t xml:space="preserve"> e apenas 6 com Cura (um erro crasso de digitação no sistema). A notificação 'pós-óbito' decorre da emissão tardia de Declarações de Óbito (DO) ou laudos de necropsia do Serviço de Verificação de Óbito (SVO) de pacientes que faleceram sem diagnóstico prévio em vida.</w:t>
      </w:r>
    </w:p>
    <w:p>
      <w:pPr>
        <w:spacing w:before="0" w:after="120" w:line="276" w:lineRule="auto"/>
        <w:jc w:val="both"/>
      </w:pPr>
      <w:r>
        <w:t xml:space="preserve">Manter esses registros em um modelo concebido para apoiar a conduta terapêutica e predizer a evolução no momento do diagnóstico prospectivo configuraria um caso clássico de </w:t>
      </w:r>
      <w:r>
        <w:rPr>
          <w:b/>
        </w:rPr>
        <w:t>vazamento de dados por causalidade reversa (target leakage)</w:t>
      </w:r>
      <w:r>
        <w:t xml:space="preserve">. O modelo aprenderia a associar a flag administrativa de óbito prévio ao desfecho, gerando acurácia artificial e inutilidade prática. Sua eliminação reduziu a coorte para </w:t>
      </w:r>
      <w:r>
        <w:rPr>
          <w:b/>
        </w:rPr>
        <w:t>599.318 casos válidos</w:t>
      </w:r>
      <w:r>
        <w:t xml:space="preserve"> (568.774 curas e 30.544 óbitos por TB — proporção real de </w:t>
      </w:r>
      <w:r>
        <w:rPr>
          <w:b/>
        </w:rPr>
        <w:t>5,10%</w:t>
      </w:r>
      <w:r>
        <w:t xml:space="preserve"> de letalidade).</w:t>
      </w:r>
    </w:p>
    <w:p>
      <w:pPr>
        <w:pStyle w:val="Heading2"/>
        <w:keepNext/>
        <w:spacing w:before="240" w:after="80"/>
      </w:pPr>
      <w:r>
        <w:rPr>
          <w:rFonts w:ascii="Calibri" w:hAnsi="Calibri"/>
          <w:b/>
          <w:color w:val="2B547E"/>
          <w:sz w:val="24"/>
        </w:rPr>
        <w:t>3.2 Particionamento Amostral Estratificado (80% Treino / 20% Teste)</w:t>
      </w:r>
    </w:p>
    <w:p>
      <w:pPr>
        <w:spacing w:before="0" w:after="120" w:line="276" w:lineRule="auto"/>
        <w:jc w:val="both"/>
      </w:pPr>
      <w:r>
        <w:t>A divisão da coorte foi operacionalizada através de amostragem aleatória estratificada pela variável alvo (TARGET), com semente reprodutível fixa (random_state=42):</w:t>
        <w:br/>
      </w:r>
      <w:r>
        <w:t xml:space="preserve">• </w:t>
      </w:r>
      <w:r>
        <w:rPr>
          <w:b/>
        </w:rPr>
        <w:t>Conjunto de Treino (80%)</w:t>
      </w:r>
      <w:r>
        <w:t>: 479.454 registros, sendo 455.019 curas (94,90%) e 24.435 óbitos por TB (5,10%).</w:t>
        <w:br/>
      </w:r>
      <w:r>
        <w:t xml:space="preserve">• </w:t>
      </w:r>
      <w:r>
        <w:rPr>
          <w:b/>
        </w:rPr>
        <w:t>Conjunto de Teste (20%)</w:t>
      </w:r>
      <w:r>
        <w:t>: 119.864 registros, sendo 113.755 curas (94,90%) e 6.109 óbitos por TB (5,10%).</w:t>
      </w:r>
    </w:p>
    <w:p>
      <w:pPr>
        <w:spacing w:before="0" w:after="120" w:line="276" w:lineRule="auto"/>
        <w:jc w:val="both"/>
      </w:pPr>
      <w:r>
        <w:t>A estratificação garantiu a manutenção rigorosa da proporção de classes em ambas as partições com desvio nulo, prevenindo vieses amostrais em eventos raros.</w:t>
      </w:r>
    </w:p>
    <w:p>
      <w:pPr>
        <w:pStyle w:val="Heading2"/>
        <w:keepNext/>
        <w:spacing w:before="240" w:after="80"/>
      </w:pPr>
      <w:r>
        <w:rPr>
          <w:rFonts w:ascii="Calibri" w:hAnsi="Calibri"/>
          <w:b/>
          <w:color w:val="2B547E"/>
          <w:sz w:val="24"/>
        </w:rPr>
        <w:t>3.3 Princípio do Isolamento Absoluto do Conjunto de Teste</w:t>
      </w:r>
    </w:p>
    <w:p>
      <w:pPr>
        <w:spacing w:before="0" w:after="120" w:line="276" w:lineRule="auto"/>
        <w:jc w:val="both"/>
      </w:pPr>
      <w:r>
        <w:t>Para assegurar a validade externa do projeto, o conjunto de teste foi submetido a isolamento estrito (</w:t>
      </w:r>
      <w:r>
        <w:rPr>
          <w:i/>
        </w:rPr>
        <w:t>strict hold-out</w:t>
      </w:r>
      <w:r>
        <w:t>):</w:t>
        <w:br/>
      </w:r>
      <w:r>
        <w:t xml:space="preserve">1. </w:t>
      </w:r>
      <w:r>
        <w:rPr>
          <w:b/>
        </w:rPr>
        <w:t>Sem Imputação Conjunta:</w:t>
      </w:r>
      <w:r>
        <w:t xml:space="preserve"> A imputação da variável contínua NU_COMU_EX (contatos examinados) utilizou a mediana ajustada estritamente sobre o conjunto de treino (mediana = 1,0). Esse parâmetro foi aplicado de forma cega para preencher os valores ausentes de treino e teste.</w:t>
        <w:br/>
      </w:r>
      <w:r>
        <w:t xml:space="preserve">2. </w:t>
      </w:r>
      <w:r>
        <w:rPr>
          <w:b/>
        </w:rPr>
        <w:t>Sem Seleção Conjunta:</w:t>
      </w:r>
      <w:r>
        <w:t xml:space="preserve"> O cálculo de métricas de associação univariada (V de Cramér, qui-quadrado e correlação ponto-bisserial) e o ranqueamento dos preditores foram realizados exclusivamente com base nas 479.454 instâncias do treino.</w:t>
        <w:br/>
      </w:r>
      <w:r>
        <w:t xml:space="preserve">3. </w:t>
      </w:r>
      <w:r>
        <w:rPr>
          <w:b/>
        </w:rPr>
        <w:t>Sem Balanceamento no Teste:</w:t>
      </w:r>
      <w:r>
        <w:t xml:space="preserve"> O conjunto de teste permaneceu integralmente com sua distribuição desbalanceada original (5,10% de óbitos), pois um teste balanceado artificialmente para 50% destruiria a avaliação de métricas ecológicas essenciais como Precisão, Valor Preditivo Positivo (VPP) e calibração de probabilidades clínicas.</w:t>
      </w:r>
    </w:p>
    <w:p>
      <w:pPr>
        <w:pStyle w:val="Heading1"/>
        <w:keepNext/>
        <w:spacing w:before="320" w:after="120"/>
      </w:pPr>
      <w:r>
        <w:rPr>
          <w:rFonts w:ascii="Calibri" w:hAnsi="Calibri"/>
          <w:b/>
          <w:color w:val="1B365D"/>
          <w:sz w:val="28"/>
        </w:rPr>
        <w:t>4. Seleção de Atributos (Seleção Univariada de Atributos / Feature Selection)</w:t>
      </w:r>
    </w:p>
    <w:p>
      <w:pPr>
        <w:pStyle w:val="Heading2"/>
        <w:keepNext/>
        <w:spacing w:before="240" w:after="80"/>
      </w:pPr>
      <w:r>
        <w:rPr>
          <w:rFonts w:ascii="Calibri" w:hAnsi="Calibri"/>
          <w:b/>
          <w:color w:val="2B547E"/>
          <w:sz w:val="24"/>
        </w:rPr>
        <w:t>4.1 Metodologia Estatística e Inadequação do p-valor Puro</w:t>
      </w:r>
    </w:p>
    <w:p>
      <w:pPr>
        <w:spacing w:before="0" w:after="120" w:line="276" w:lineRule="auto"/>
        <w:jc w:val="both"/>
      </w:pPr>
      <w:r>
        <w:t>Em estudos com bases de dados populacionais massivas (N = 479.454 no treino), o poder estatístico dos testes assintóticos aproxima-se de 100% (1 - beta ≈ 1). Consequentemente, variações minúsculas produzem p-valores infinitesimais (p &lt; 10^-34 para todas as variáveis). O p-valor puro é, portanto, ineficaz para triagem de relevância clínica prática.</w:t>
      </w:r>
    </w:p>
    <w:p>
      <w:pPr>
        <w:spacing w:before="0" w:after="120" w:line="276" w:lineRule="auto"/>
        <w:jc w:val="both"/>
      </w:pPr>
      <w:r>
        <w:t>Empregou-se como métrica mestre de associação:</w:t>
        <w:br/>
      </w:r>
      <w:r>
        <w:t xml:space="preserve">• Para as 25 variáveis categóricas: O </w:t>
      </w:r>
      <w:r>
        <w:rPr>
          <w:b/>
        </w:rPr>
        <w:t>coeficiente V de Cramér</w:t>
      </w:r>
      <w:r>
        <w:t>, derivado da estatística de independência de Pearson (qui-quadrado), que padroniza a intensidade do efeito em uma escala de 0 a 1 imune ao tamanho amostral.</w:t>
        <w:br/>
      </w:r>
      <w:r>
        <w:t xml:space="preserve">• Para a variável contínua (NU_COMU_EX): O </w:t>
      </w:r>
      <w:r>
        <w:rPr>
          <w:b/>
        </w:rPr>
        <w:t>coeficiente de correlação ponto-bisserial (|r|)</w:t>
      </w:r>
      <w:r>
        <w:t>, que quantifica a relação entre uma variável numérica contínua e o desfecho dicotômico.</w:t>
      </w:r>
    </w:p>
    <w:p>
      <w:pPr>
        <w:pStyle w:val="Heading2"/>
        <w:keepNext/>
        <w:spacing w:before="240" w:after="80"/>
      </w:pPr>
      <w:r>
        <w:rPr>
          <w:rFonts w:ascii="Calibri" w:hAnsi="Calibri"/>
          <w:b/>
          <w:color w:val="2B547E"/>
          <w:sz w:val="24"/>
        </w:rPr>
        <w:t>4.2 Tabela Completa de Associação e Ranqueamento no Treino</w:t>
      </w:r>
    </w:p>
    <w:p>
      <w:pPr>
        <w:spacing w:before="0" w:after="120" w:line="276" w:lineRule="auto"/>
        <w:jc w:val="both"/>
      </w:pPr>
      <w:r>
        <w:t>A Tabela 2 apresenta os 26 preditores candidatos ordenados pela magnitude de associação com o desfecho no conjunto de treino:</w:t>
      </w:r>
    </w:p>
    <w:p>
      <w:pPr>
        <w:spacing w:before="120" w:after="60" w:line="276" w:lineRule="auto"/>
        <w:jc w:val="left"/>
      </w:pPr>
      <w:r>
        <w:rPr>
          <w:rFonts w:ascii="Calibri" w:hAnsi="Calibri"/>
          <w:b/>
          <w:color w:val="1B365D"/>
          <w:sz w:val="19"/>
        </w:rPr>
        <w:t>Tabela 2 — Ranking Univariado dos 26 Atributos Preditores Avaliados no Treino (N = 479.454)</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1343"/>
        <w:gridCol w:w="1343"/>
        <w:gridCol w:w="1343"/>
        <w:gridCol w:w="1343"/>
        <w:gridCol w:w="1343"/>
        <w:gridCol w:w="1343"/>
        <w:gridCol w:w="1343"/>
      </w:tblGrid>
      <w:tr>
        <w:tc>
          <w:tcPr>
            <w:tcW w:type="dxa" w:w="720"/>
            <w:shd w:fill="1B365D"/>
            <w:tcMar>
              <w:top w:w="60" w:type="dxa"/>
              <w:bottom w:w="60" w:type="dxa"/>
              <w:left w:w="60" w:type="dxa"/>
              <w:right w:w="60" w:type="dxa"/>
            </w:tcMar>
          </w:tcPr>
          <w:p>
            <w:pPr>
              <w:spacing w:before="0" w:after="0" w:line="276" w:lineRule="auto"/>
              <w:jc w:val="center"/>
            </w:pPr>
            <w:r>
              <w:rPr>
                <w:rFonts w:ascii="Calibri" w:hAnsi="Calibri"/>
                <w:b/>
                <w:color w:val="FFFFFF"/>
                <w:sz w:val="17"/>
              </w:rPr>
              <w:t>Posto</w:t>
            </w:r>
          </w:p>
        </w:tc>
        <w:tc>
          <w:tcPr>
            <w:tcW w:type="dxa" w:w="2592"/>
            <w:shd w:fill="1B365D"/>
            <w:tcMar>
              <w:top w:w="60" w:type="dxa"/>
              <w:bottom w:w="60" w:type="dxa"/>
              <w:left w:w="60" w:type="dxa"/>
              <w:right w:w="60" w:type="dxa"/>
            </w:tcMar>
          </w:tcPr>
          <w:p>
            <w:pPr>
              <w:spacing w:before="0" w:after="0" w:line="276" w:lineRule="auto"/>
              <w:jc w:val="center"/>
            </w:pPr>
            <w:r>
              <w:rPr>
                <w:rFonts w:ascii="Calibri" w:hAnsi="Calibri"/>
                <w:b/>
                <w:color w:val="FFFFFF"/>
                <w:sz w:val="17"/>
              </w:rPr>
              <w:t>Atributo Preditor</w:t>
            </w:r>
          </w:p>
        </w:tc>
        <w:tc>
          <w:tcPr>
            <w:tcW w:type="dxa" w:w="1296"/>
            <w:shd w:fill="1B365D"/>
            <w:tcMar>
              <w:top w:w="60" w:type="dxa"/>
              <w:bottom w:w="60" w:type="dxa"/>
              <w:left w:w="60" w:type="dxa"/>
              <w:right w:w="60" w:type="dxa"/>
            </w:tcMar>
          </w:tcPr>
          <w:p>
            <w:pPr>
              <w:spacing w:before="0" w:after="0" w:line="276" w:lineRule="auto"/>
              <w:jc w:val="center"/>
            </w:pPr>
            <w:r>
              <w:rPr>
                <w:rFonts w:ascii="Calibri" w:hAnsi="Calibri"/>
                <w:b/>
                <w:color w:val="FFFFFF"/>
                <w:sz w:val="17"/>
              </w:rPr>
              <w:t>Tipo</w:t>
            </w:r>
          </w:p>
        </w:tc>
        <w:tc>
          <w:tcPr>
            <w:tcW w:type="dxa" w:w="1872"/>
            <w:shd w:fill="1B365D"/>
            <w:tcMar>
              <w:top w:w="60" w:type="dxa"/>
              <w:bottom w:w="60" w:type="dxa"/>
              <w:left w:w="60" w:type="dxa"/>
              <w:right w:w="60" w:type="dxa"/>
            </w:tcMar>
          </w:tcPr>
          <w:p>
            <w:pPr>
              <w:spacing w:before="0" w:after="0" w:line="276" w:lineRule="auto"/>
              <w:jc w:val="center"/>
            </w:pPr>
            <w:r>
              <w:rPr>
                <w:rFonts w:ascii="Calibri" w:hAnsi="Calibri"/>
                <w:b/>
                <w:color w:val="FFFFFF"/>
                <w:sz w:val="17"/>
              </w:rPr>
              <w:t>Métrica</w:t>
            </w:r>
          </w:p>
        </w:tc>
        <w:tc>
          <w:tcPr>
            <w:tcW w:type="dxa" w:w="1152"/>
            <w:shd w:fill="1B365D"/>
            <w:tcMar>
              <w:top w:w="60" w:type="dxa"/>
              <w:bottom w:w="60" w:type="dxa"/>
              <w:left w:w="60" w:type="dxa"/>
              <w:right w:w="60" w:type="dxa"/>
            </w:tcMar>
          </w:tcPr>
          <w:p>
            <w:pPr>
              <w:spacing w:before="0" w:after="0" w:line="276" w:lineRule="auto"/>
              <w:jc w:val="center"/>
            </w:pPr>
            <w:r>
              <w:rPr>
                <w:rFonts w:ascii="Calibri" w:hAnsi="Calibri"/>
                <w:b/>
                <w:color w:val="FFFFFF"/>
                <w:sz w:val="17"/>
              </w:rPr>
              <w:t>Valor da Métrica</w:t>
            </w:r>
          </w:p>
        </w:tc>
        <w:tc>
          <w:tcPr>
            <w:tcW w:type="dxa" w:w="1152"/>
            <w:shd w:fill="1B365D"/>
            <w:tcMar>
              <w:top w:w="60" w:type="dxa"/>
              <w:bottom w:w="60" w:type="dxa"/>
              <w:left w:w="60" w:type="dxa"/>
              <w:right w:w="60" w:type="dxa"/>
            </w:tcMar>
          </w:tcPr>
          <w:p>
            <w:pPr>
              <w:spacing w:before="0" w:after="0" w:line="276" w:lineRule="auto"/>
              <w:jc w:val="center"/>
            </w:pPr>
            <w:r>
              <w:rPr>
                <w:rFonts w:ascii="Calibri" w:hAnsi="Calibri"/>
                <w:b/>
                <w:color w:val="FFFFFF"/>
                <w:sz w:val="17"/>
              </w:rPr>
              <w:t>p-valor</w:t>
            </w:r>
          </w:p>
        </w:tc>
        <w:tc>
          <w:tcPr>
            <w:tcW w:type="dxa" w:w="1296"/>
            <w:shd w:fill="1B365D"/>
            <w:tcMar>
              <w:top w:w="60" w:type="dxa"/>
              <w:bottom w:w="60" w:type="dxa"/>
              <w:left w:w="60" w:type="dxa"/>
              <w:right w:w="60" w:type="dxa"/>
            </w:tcMar>
          </w:tcPr>
          <w:p>
            <w:pPr>
              <w:spacing w:before="0" w:after="0" w:line="276" w:lineRule="auto"/>
              <w:jc w:val="center"/>
            </w:pPr>
            <w:r>
              <w:rPr>
                <w:rFonts w:ascii="Calibri" w:hAnsi="Calibri"/>
                <w:b/>
                <w:color w:val="FFFFFF"/>
                <w:sz w:val="17"/>
              </w:rPr>
              <w:t>Decisão (Corte Top 22)</w:t>
            </w:r>
          </w:p>
        </w:tc>
      </w:tr>
      <w:tr>
        <w:tc>
          <w:tcPr>
            <w:tcW w:type="dxa" w:w="720"/>
            <w:shd w:fill="FFFFFF"/>
            <w:tcMar>
              <w:top w:w="40" w:type="dxa"/>
              <w:bottom w:w="40" w:type="dxa"/>
              <w:left w:w="60" w:type="dxa"/>
              <w:right w:w="60" w:type="dxa"/>
            </w:tcMar>
          </w:tcPr>
          <w:p>
            <w:pPr>
              <w:spacing w:before="0" w:after="0" w:line="276" w:lineRule="auto"/>
              <w:jc w:val="center"/>
            </w:pPr>
            <w:r>
              <w:rPr>
                <w:rFonts w:ascii="Calibri" w:hAnsi="Calibri"/>
                <w:color w:val="1E293B"/>
                <w:sz w:val="16"/>
              </w:rPr>
              <w:t>1</w:t>
            </w:r>
          </w:p>
        </w:tc>
        <w:tc>
          <w:tcPr>
            <w:tcW w:type="dxa" w:w="2592"/>
            <w:shd w:fill="FFFFFF"/>
            <w:tcMar>
              <w:top w:w="40" w:type="dxa"/>
              <w:bottom w:w="40" w:type="dxa"/>
              <w:left w:w="60" w:type="dxa"/>
              <w:right w:w="60" w:type="dxa"/>
            </w:tcMar>
          </w:tcPr>
          <w:p>
            <w:pPr>
              <w:spacing w:before="0" w:after="0" w:line="276" w:lineRule="auto"/>
              <w:jc w:val="left"/>
            </w:pPr>
            <w:r>
              <w:rPr>
                <w:rFonts w:ascii="Calibri" w:hAnsi="Calibri"/>
                <w:b/>
                <w:color w:val="1E293B"/>
                <w:sz w:val="16"/>
              </w:rPr>
              <w:t>FAIXA_ETARIA</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FFFFF"/>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0,1339</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8FAFC"/>
            <w:tcMar>
              <w:top w:w="40" w:type="dxa"/>
              <w:bottom w:w="40" w:type="dxa"/>
              <w:left w:w="60" w:type="dxa"/>
              <w:right w:w="60" w:type="dxa"/>
            </w:tcMar>
          </w:tcPr>
          <w:p>
            <w:pPr>
              <w:spacing w:before="0" w:after="0" w:line="276" w:lineRule="auto"/>
              <w:jc w:val="center"/>
            </w:pPr>
            <w:r>
              <w:rPr>
                <w:rFonts w:ascii="Calibri" w:hAnsi="Calibri"/>
                <w:color w:val="1E293B"/>
                <w:sz w:val="16"/>
              </w:rPr>
              <w:t>2</w:t>
            </w:r>
          </w:p>
        </w:tc>
        <w:tc>
          <w:tcPr>
            <w:tcW w:type="dxa" w:w="2592"/>
            <w:shd w:fill="F8FAFC"/>
            <w:tcMar>
              <w:top w:w="40" w:type="dxa"/>
              <w:bottom w:w="40" w:type="dxa"/>
              <w:left w:w="60" w:type="dxa"/>
              <w:right w:w="60" w:type="dxa"/>
            </w:tcMar>
          </w:tcPr>
          <w:p>
            <w:pPr>
              <w:spacing w:before="0" w:after="0" w:line="276" w:lineRule="auto"/>
              <w:jc w:val="left"/>
            </w:pPr>
            <w:r>
              <w:rPr>
                <w:rFonts w:ascii="Calibri" w:hAnsi="Calibri"/>
                <w:b/>
                <w:color w:val="1E293B"/>
                <w:sz w:val="16"/>
              </w:rPr>
              <w:t>TRATAMENTO</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8FAFC"/>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0,0887</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FFFFF"/>
            <w:tcMar>
              <w:top w:w="40" w:type="dxa"/>
              <w:bottom w:w="40" w:type="dxa"/>
              <w:left w:w="60" w:type="dxa"/>
              <w:right w:w="60" w:type="dxa"/>
            </w:tcMar>
          </w:tcPr>
          <w:p>
            <w:pPr>
              <w:spacing w:before="0" w:after="0" w:line="276" w:lineRule="auto"/>
              <w:jc w:val="center"/>
            </w:pPr>
            <w:r>
              <w:rPr>
                <w:rFonts w:ascii="Calibri" w:hAnsi="Calibri"/>
                <w:color w:val="1E293B"/>
                <w:sz w:val="16"/>
              </w:rPr>
              <w:t>3</w:t>
            </w:r>
          </w:p>
        </w:tc>
        <w:tc>
          <w:tcPr>
            <w:tcW w:type="dxa" w:w="2592"/>
            <w:shd w:fill="FFFFFF"/>
            <w:tcMar>
              <w:top w:w="40" w:type="dxa"/>
              <w:bottom w:w="40" w:type="dxa"/>
              <w:left w:w="60" w:type="dxa"/>
              <w:right w:w="60" w:type="dxa"/>
            </w:tcMar>
          </w:tcPr>
          <w:p>
            <w:pPr>
              <w:spacing w:before="0" w:after="0" w:line="276" w:lineRule="auto"/>
              <w:jc w:val="left"/>
            </w:pPr>
            <w:r>
              <w:rPr>
                <w:rFonts w:ascii="Calibri" w:hAnsi="Calibri"/>
                <w:b/>
                <w:color w:val="1E293B"/>
                <w:sz w:val="16"/>
              </w:rPr>
              <w:t>AGRAVAIDS</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FFFFF"/>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0,0841</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8FAFC"/>
            <w:tcMar>
              <w:top w:w="40" w:type="dxa"/>
              <w:bottom w:w="40" w:type="dxa"/>
              <w:left w:w="60" w:type="dxa"/>
              <w:right w:w="60" w:type="dxa"/>
            </w:tcMar>
          </w:tcPr>
          <w:p>
            <w:pPr>
              <w:spacing w:before="0" w:after="0" w:line="276" w:lineRule="auto"/>
              <w:jc w:val="center"/>
            </w:pPr>
            <w:r>
              <w:rPr>
                <w:rFonts w:ascii="Calibri" w:hAnsi="Calibri"/>
                <w:color w:val="1E293B"/>
                <w:sz w:val="16"/>
              </w:rPr>
              <w:t>4</w:t>
            </w:r>
          </w:p>
        </w:tc>
        <w:tc>
          <w:tcPr>
            <w:tcW w:type="dxa" w:w="2592"/>
            <w:shd w:fill="F8FAFC"/>
            <w:tcMar>
              <w:top w:w="40" w:type="dxa"/>
              <w:bottom w:w="40" w:type="dxa"/>
              <w:left w:w="60" w:type="dxa"/>
              <w:right w:w="60" w:type="dxa"/>
            </w:tcMar>
          </w:tcPr>
          <w:p>
            <w:pPr>
              <w:spacing w:before="0" w:after="0" w:line="276" w:lineRule="auto"/>
              <w:jc w:val="left"/>
            </w:pPr>
            <w:r>
              <w:rPr>
                <w:rFonts w:ascii="Calibri" w:hAnsi="Calibri"/>
                <w:b/>
                <w:color w:val="1E293B"/>
                <w:sz w:val="16"/>
              </w:rPr>
              <w:t>HIV</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8FAFC"/>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0,0768</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FFFFF"/>
            <w:tcMar>
              <w:top w:w="40" w:type="dxa"/>
              <w:bottom w:w="40" w:type="dxa"/>
              <w:left w:w="60" w:type="dxa"/>
              <w:right w:w="60" w:type="dxa"/>
            </w:tcMar>
          </w:tcPr>
          <w:p>
            <w:pPr>
              <w:spacing w:before="0" w:after="0" w:line="276" w:lineRule="auto"/>
              <w:jc w:val="center"/>
            </w:pPr>
            <w:r>
              <w:rPr>
                <w:rFonts w:ascii="Calibri" w:hAnsi="Calibri"/>
                <w:color w:val="1E293B"/>
                <w:sz w:val="16"/>
              </w:rPr>
              <w:t>5</w:t>
            </w:r>
          </w:p>
        </w:tc>
        <w:tc>
          <w:tcPr>
            <w:tcW w:type="dxa" w:w="2592"/>
            <w:shd w:fill="FFFFFF"/>
            <w:tcMar>
              <w:top w:w="40" w:type="dxa"/>
              <w:bottom w:w="40" w:type="dxa"/>
              <w:left w:w="60" w:type="dxa"/>
              <w:right w:w="60" w:type="dxa"/>
            </w:tcMar>
          </w:tcPr>
          <w:p>
            <w:pPr>
              <w:spacing w:before="0" w:after="0" w:line="276" w:lineRule="auto"/>
              <w:jc w:val="left"/>
            </w:pPr>
            <w:r>
              <w:rPr>
                <w:rFonts w:ascii="Calibri" w:hAnsi="Calibri"/>
                <w:b/>
                <w:color w:val="1E293B"/>
                <w:sz w:val="16"/>
              </w:rPr>
              <w:t>CS_ESCOL_N</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FFFFF"/>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0,0759</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8FAFC"/>
            <w:tcMar>
              <w:top w:w="40" w:type="dxa"/>
              <w:bottom w:w="40" w:type="dxa"/>
              <w:left w:w="60" w:type="dxa"/>
              <w:right w:w="60" w:type="dxa"/>
            </w:tcMar>
          </w:tcPr>
          <w:p>
            <w:pPr>
              <w:spacing w:before="0" w:after="0" w:line="276" w:lineRule="auto"/>
              <w:jc w:val="center"/>
            </w:pPr>
            <w:r>
              <w:rPr>
                <w:rFonts w:ascii="Calibri" w:hAnsi="Calibri"/>
                <w:color w:val="1E293B"/>
                <w:sz w:val="16"/>
              </w:rPr>
              <w:t>6</w:t>
            </w:r>
          </w:p>
        </w:tc>
        <w:tc>
          <w:tcPr>
            <w:tcW w:type="dxa" w:w="2592"/>
            <w:shd w:fill="F8FAFC"/>
            <w:tcMar>
              <w:top w:w="40" w:type="dxa"/>
              <w:bottom w:w="40" w:type="dxa"/>
              <w:left w:w="60" w:type="dxa"/>
              <w:right w:w="60" w:type="dxa"/>
            </w:tcMar>
          </w:tcPr>
          <w:p>
            <w:pPr>
              <w:spacing w:before="0" w:after="0" w:line="276" w:lineRule="auto"/>
              <w:jc w:val="left"/>
            </w:pPr>
            <w:r>
              <w:rPr>
                <w:rFonts w:ascii="Calibri" w:hAnsi="Calibri"/>
                <w:b/>
                <w:color w:val="1E293B"/>
                <w:sz w:val="16"/>
              </w:rPr>
              <w:t>ANO_DIAG</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8FAFC"/>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0,0640</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FFFFF"/>
            <w:tcMar>
              <w:top w:w="40" w:type="dxa"/>
              <w:bottom w:w="40" w:type="dxa"/>
              <w:left w:w="60" w:type="dxa"/>
              <w:right w:w="60" w:type="dxa"/>
            </w:tcMar>
          </w:tcPr>
          <w:p>
            <w:pPr>
              <w:spacing w:before="0" w:after="0" w:line="276" w:lineRule="auto"/>
              <w:jc w:val="center"/>
            </w:pPr>
            <w:r>
              <w:rPr>
                <w:rFonts w:ascii="Calibri" w:hAnsi="Calibri"/>
                <w:color w:val="1E293B"/>
                <w:sz w:val="16"/>
              </w:rPr>
              <w:t>7</w:t>
            </w:r>
          </w:p>
        </w:tc>
        <w:tc>
          <w:tcPr>
            <w:tcW w:type="dxa" w:w="2592"/>
            <w:shd w:fill="FFFFFF"/>
            <w:tcMar>
              <w:top w:w="40" w:type="dxa"/>
              <w:bottom w:w="40" w:type="dxa"/>
              <w:left w:w="60" w:type="dxa"/>
              <w:right w:w="60" w:type="dxa"/>
            </w:tcMar>
          </w:tcPr>
          <w:p>
            <w:pPr>
              <w:spacing w:before="0" w:after="0" w:line="276" w:lineRule="auto"/>
              <w:jc w:val="left"/>
            </w:pPr>
            <w:r>
              <w:rPr>
                <w:rFonts w:ascii="Calibri" w:hAnsi="Calibri"/>
                <w:b/>
                <w:color w:val="1E293B"/>
                <w:sz w:val="16"/>
              </w:rPr>
              <w:t>RAIOX_TORA</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FFFFF"/>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0,0608</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8FAFC"/>
            <w:tcMar>
              <w:top w:w="40" w:type="dxa"/>
              <w:bottom w:w="40" w:type="dxa"/>
              <w:left w:w="60" w:type="dxa"/>
              <w:right w:w="60" w:type="dxa"/>
            </w:tcMar>
          </w:tcPr>
          <w:p>
            <w:pPr>
              <w:spacing w:before="0" w:after="0" w:line="276" w:lineRule="auto"/>
              <w:jc w:val="center"/>
            </w:pPr>
            <w:r>
              <w:rPr>
                <w:rFonts w:ascii="Calibri" w:hAnsi="Calibri"/>
                <w:color w:val="1E293B"/>
                <w:sz w:val="16"/>
              </w:rPr>
              <w:t>8</w:t>
            </w:r>
          </w:p>
        </w:tc>
        <w:tc>
          <w:tcPr>
            <w:tcW w:type="dxa" w:w="2592"/>
            <w:shd w:fill="F8FAFC"/>
            <w:tcMar>
              <w:top w:w="40" w:type="dxa"/>
              <w:bottom w:w="40" w:type="dxa"/>
              <w:left w:w="60" w:type="dxa"/>
              <w:right w:w="60" w:type="dxa"/>
            </w:tcMar>
          </w:tcPr>
          <w:p>
            <w:pPr>
              <w:spacing w:before="0" w:after="0" w:line="276" w:lineRule="auto"/>
              <w:jc w:val="left"/>
            </w:pPr>
            <w:r>
              <w:rPr>
                <w:rFonts w:ascii="Calibri" w:hAnsi="Calibri"/>
                <w:b/>
                <w:color w:val="1E293B"/>
                <w:sz w:val="16"/>
              </w:rPr>
              <w:t>AGRAVDIABE</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8FAFC"/>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0,0561</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FFFFF"/>
            <w:tcMar>
              <w:top w:w="40" w:type="dxa"/>
              <w:bottom w:w="40" w:type="dxa"/>
              <w:left w:w="60" w:type="dxa"/>
              <w:right w:w="60" w:type="dxa"/>
            </w:tcMar>
          </w:tcPr>
          <w:p>
            <w:pPr>
              <w:spacing w:before="0" w:after="0" w:line="276" w:lineRule="auto"/>
              <w:jc w:val="center"/>
            </w:pPr>
            <w:r>
              <w:rPr>
                <w:rFonts w:ascii="Calibri" w:hAnsi="Calibri"/>
                <w:color w:val="1E293B"/>
                <w:sz w:val="16"/>
              </w:rPr>
              <w:t>9</w:t>
            </w:r>
          </w:p>
        </w:tc>
        <w:tc>
          <w:tcPr>
            <w:tcW w:type="dxa" w:w="2592"/>
            <w:shd w:fill="FFFFFF"/>
            <w:tcMar>
              <w:top w:w="40" w:type="dxa"/>
              <w:bottom w:w="40" w:type="dxa"/>
              <w:left w:w="60" w:type="dxa"/>
              <w:right w:w="60" w:type="dxa"/>
            </w:tcMar>
          </w:tcPr>
          <w:p>
            <w:pPr>
              <w:spacing w:before="0" w:after="0" w:line="276" w:lineRule="auto"/>
              <w:jc w:val="left"/>
            </w:pPr>
            <w:r>
              <w:rPr>
                <w:rFonts w:ascii="Calibri" w:hAnsi="Calibri"/>
                <w:b/>
                <w:color w:val="1E293B"/>
                <w:sz w:val="16"/>
              </w:rPr>
              <w:t>AGRAVALCOO</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FFFFF"/>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0,0519</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8FAFC"/>
            <w:tcMar>
              <w:top w:w="40" w:type="dxa"/>
              <w:bottom w:w="40" w:type="dxa"/>
              <w:left w:w="60" w:type="dxa"/>
              <w:right w:w="60" w:type="dxa"/>
            </w:tcMar>
          </w:tcPr>
          <w:p>
            <w:pPr>
              <w:spacing w:before="0" w:after="0" w:line="276" w:lineRule="auto"/>
              <w:jc w:val="center"/>
            </w:pPr>
            <w:r>
              <w:rPr>
                <w:rFonts w:ascii="Calibri" w:hAnsi="Calibri"/>
                <w:color w:val="1E293B"/>
                <w:sz w:val="16"/>
              </w:rPr>
              <w:t>10</w:t>
            </w:r>
          </w:p>
        </w:tc>
        <w:tc>
          <w:tcPr>
            <w:tcW w:type="dxa" w:w="2592"/>
            <w:shd w:fill="F8FAFC"/>
            <w:tcMar>
              <w:top w:w="40" w:type="dxa"/>
              <w:bottom w:w="40" w:type="dxa"/>
              <w:left w:w="60" w:type="dxa"/>
              <w:right w:w="60" w:type="dxa"/>
            </w:tcMar>
          </w:tcPr>
          <w:p>
            <w:pPr>
              <w:spacing w:before="0" w:after="0" w:line="276" w:lineRule="auto"/>
              <w:jc w:val="left"/>
            </w:pPr>
            <w:r>
              <w:rPr>
                <w:rFonts w:ascii="Calibri" w:hAnsi="Calibri"/>
                <w:b/>
                <w:color w:val="1E293B"/>
                <w:sz w:val="16"/>
              </w:rPr>
              <w:t>AGRAVDROGA</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8FAFC"/>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0,0469</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FFFFF"/>
            <w:tcMar>
              <w:top w:w="40" w:type="dxa"/>
              <w:bottom w:w="40" w:type="dxa"/>
              <w:left w:w="60" w:type="dxa"/>
              <w:right w:w="60" w:type="dxa"/>
            </w:tcMar>
          </w:tcPr>
          <w:p>
            <w:pPr>
              <w:spacing w:before="0" w:after="0" w:line="276" w:lineRule="auto"/>
              <w:jc w:val="center"/>
            </w:pPr>
            <w:r>
              <w:rPr>
                <w:rFonts w:ascii="Calibri" w:hAnsi="Calibri"/>
                <w:color w:val="1E293B"/>
                <w:sz w:val="16"/>
              </w:rPr>
              <w:t>11</w:t>
            </w:r>
          </w:p>
        </w:tc>
        <w:tc>
          <w:tcPr>
            <w:tcW w:type="dxa" w:w="2592"/>
            <w:shd w:fill="FFFFFF"/>
            <w:tcMar>
              <w:top w:w="40" w:type="dxa"/>
              <w:bottom w:w="40" w:type="dxa"/>
              <w:left w:w="60" w:type="dxa"/>
              <w:right w:w="60" w:type="dxa"/>
            </w:tcMar>
          </w:tcPr>
          <w:p>
            <w:pPr>
              <w:spacing w:before="0" w:after="0" w:line="276" w:lineRule="auto"/>
              <w:jc w:val="left"/>
            </w:pPr>
            <w:r>
              <w:rPr>
                <w:rFonts w:ascii="Calibri" w:hAnsi="Calibri"/>
                <w:b/>
                <w:color w:val="1E293B"/>
                <w:sz w:val="16"/>
              </w:rPr>
              <w:t>AGRAVTABAC</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FFFFF"/>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0,0462</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8FAFC"/>
            <w:tcMar>
              <w:top w:w="40" w:type="dxa"/>
              <w:bottom w:w="40" w:type="dxa"/>
              <w:left w:w="60" w:type="dxa"/>
              <w:right w:w="60" w:type="dxa"/>
            </w:tcMar>
          </w:tcPr>
          <w:p>
            <w:pPr>
              <w:spacing w:before="0" w:after="0" w:line="276" w:lineRule="auto"/>
              <w:jc w:val="center"/>
            </w:pPr>
            <w:r>
              <w:rPr>
                <w:rFonts w:ascii="Calibri" w:hAnsi="Calibri"/>
                <w:color w:val="1E293B"/>
                <w:sz w:val="16"/>
              </w:rPr>
              <w:t>12</w:t>
            </w:r>
          </w:p>
        </w:tc>
        <w:tc>
          <w:tcPr>
            <w:tcW w:type="dxa" w:w="2592"/>
            <w:shd w:fill="F8FAFC"/>
            <w:tcMar>
              <w:top w:w="40" w:type="dxa"/>
              <w:bottom w:w="40" w:type="dxa"/>
              <w:left w:w="60" w:type="dxa"/>
              <w:right w:w="60" w:type="dxa"/>
            </w:tcMar>
          </w:tcPr>
          <w:p>
            <w:pPr>
              <w:spacing w:before="0" w:after="0" w:line="276" w:lineRule="auto"/>
              <w:jc w:val="left"/>
            </w:pPr>
            <w:r>
              <w:rPr>
                <w:rFonts w:ascii="Calibri" w:hAnsi="Calibri"/>
                <w:b/>
                <w:color w:val="1E293B"/>
                <w:sz w:val="16"/>
              </w:rPr>
              <w:t>AGRAVDOENC</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8FAFC"/>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0,0456</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FFFFF"/>
            <w:tcMar>
              <w:top w:w="40" w:type="dxa"/>
              <w:bottom w:w="40" w:type="dxa"/>
              <w:left w:w="60" w:type="dxa"/>
              <w:right w:w="60" w:type="dxa"/>
            </w:tcMar>
          </w:tcPr>
          <w:p>
            <w:pPr>
              <w:spacing w:before="0" w:after="0" w:line="276" w:lineRule="auto"/>
              <w:jc w:val="center"/>
            </w:pPr>
            <w:r>
              <w:rPr>
                <w:rFonts w:ascii="Calibri" w:hAnsi="Calibri"/>
                <w:color w:val="1E293B"/>
                <w:sz w:val="16"/>
              </w:rPr>
              <w:t>13</w:t>
            </w:r>
          </w:p>
        </w:tc>
        <w:tc>
          <w:tcPr>
            <w:tcW w:type="dxa" w:w="2592"/>
            <w:shd w:fill="FFFFFF"/>
            <w:tcMar>
              <w:top w:w="40" w:type="dxa"/>
              <w:bottom w:w="40" w:type="dxa"/>
              <w:left w:w="60" w:type="dxa"/>
              <w:right w:w="60" w:type="dxa"/>
            </w:tcMar>
          </w:tcPr>
          <w:p>
            <w:pPr>
              <w:spacing w:before="0" w:after="0" w:line="276" w:lineRule="auto"/>
              <w:jc w:val="left"/>
            </w:pPr>
            <w:r>
              <w:rPr>
                <w:rFonts w:ascii="Calibri" w:hAnsi="Calibri"/>
                <w:b/>
                <w:color w:val="1E293B"/>
                <w:sz w:val="16"/>
              </w:rPr>
              <w:t>SG_UF</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FFFFF"/>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0,0437</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8FAFC"/>
            <w:tcMar>
              <w:top w:w="40" w:type="dxa"/>
              <w:bottom w:w="40" w:type="dxa"/>
              <w:left w:w="60" w:type="dxa"/>
              <w:right w:w="60" w:type="dxa"/>
            </w:tcMar>
          </w:tcPr>
          <w:p>
            <w:pPr>
              <w:spacing w:before="0" w:after="0" w:line="276" w:lineRule="auto"/>
              <w:jc w:val="center"/>
            </w:pPr>
            <w:r>
              <w:rPr>
                <w:rFonts w:ascii="Calibri" w:hAnsi="Calibri"/>
                <w:color w:val="1E293B"/>
                <w:sz w:val="16"/>
              </w:rPr>
              <w:t>14</w:t>
            </w:r>
          </w:p>
        </w:tc>
        <w:tc>
          <w:tcPr>
            <w:tcW w:type="dxa" w:w="2592"/>
            <w:shd w:fill="F8FAFC"/>
            <w:tcMar>
              <w:top w:w="40" w:type="dxa"/>
              <w:bottom w:w="40" w:type="dxa"/>
              <w:left w:w="60" w:type="dxa"/>
              <w:right w:w="60" w:type="dxa"/>
            </w:tcMar>
          </w:tcPr>
          <w:p>
            <w:pPr>
              <w:spacing w:before="0" w:after="0" w:line="276" w:lineRule="auto"/>
              <w:jc w:val="left"/>
            </w:pPr>
            <w:r>
              <w:rPr>
                <w:rFonts w:ascii="Calibri" w:hAnsi="Calibri"/>
                <w:b/>
                <w:color w:val="1E293B"/>
                <w:sz w:val="16"/>
              </w:rPr>
              <w:t>CS_SEXO</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8FAFC"/>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0,0429</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FFFFF"/>
            <w:tcMar>
              <w:top w:w="40" w:type="dxa"/>
              <w:bottom w:w="40" w:type="dxa"/>
              <w:left w:w="60" w:type="dxa"/>
              <w:right w:w="60" w:type="dxa"/>
            </w:tcMar>
          </w:tcPr>
          <w:p>
            <w:pPr>
              <w:spacing w:before="0" w:after="0" w:line="276" w:lineRule="auto"/>
              <w:jc w:val="center"/>
            </w:pPr>
            <w:r>
              <w:rPr>
                <w:rFonts w:ascii="Calibri" w:hAnsi="Calibri"/>
                <w:color w:val="1E293B"/>
                <w:sz w:val="16"/>
              </w:rPr>
              <w:t>15</w:t>
            </w:r>
          </w:p>
        </w:tc>
        <w:tc>
          <w:tcPr>
            <w:tcW w:type="dxa" w:w="2592"/>
            <w:shd w:fill="FFFFFF"/>
            <w:tcMar>
              <w:top w:w="40" w:type="dxa"/>
              <w:bottom w:w="40" w:type="dxa"/>
              <w:left w:w="60" w:type="dxa"/>
              <w:right w:w="60" w:type="dxa"/>
            </w:tcMar>
          </w:tcPr>
          <w:p>
            <w:pPr>
              <w:spacing w:before="0" w:after="0" w:line="276" w:lineRule="auto"/>
              <w:jc w:val="left"/>
            </w:pPr>
            <w:r>
              <w:rPr>
                <w:rFonts w:ascii="Calibri" w:hAnsi="Calibri"/>
                <w:b/>
                <w:color w:val="1E293B"/>
                <w:sz w:val="16"/>
              </w:rPr>
              <w:t>BENEF_GOV</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FFFFF"/>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0,0422</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8FAFC"/>
            <w:tcMar>
              <w:top w:w="40" w:type="dxa"/>
              <w:bottom w:w="40" w:type="dxa"/>
              <w:left w:w="60" w:type="dxa"/>
              <w:right w:w="60" w:type="dxa"/>
            </w:tcMar>
          </w:tcPr>
          <w:p>
            <w:pPr>
              <w:spacing w:before="0" w:after="0" w:line="276" w:lineRule="auto"/>
              <w:jc w:val="center"/>
            </w:pPr>
            <w:r>
              <w:rPr>
                <w:rFonts w:ascii="Calibri" w:hAnsi="Calibri"/>
                <w:color w:val="1E293B"/>
                <w:sz w:val="16"/>
              </w:rPr>
              <w:t>16</w:t>
            </w:r>
          </w:p>
        </w:tc>
        <w:tc>
          <w:tcPr>
            <w:tcW w:type="dxa" w:w="2592"/>
            <w:shd w:fill="F8FAFC"/>
            <w:tcMar>
              <w:top w:w="40" w:type="dxa"/>
              <w:bottom w:w="40" w:type="dxa"/>
              <w:left w:w="60" w:type="dxa"/>
              <w:right w:w="60" w:type="dxa"/>
            </w:tcMar>
          </w:tcPr>
          <w:p>
            <w:pPr>
              <w:spacing w:before="0" w:after="0" w:line="276" w:lineRule="auto"/>
              <w:jc w:val="left"/>
            </w:pPr>
            <w:r>
              <w:rPr>
                <w:rFonts w:ascii="Calibri" w:hAnsi="Calibri"/>
                <w:b/>
                <w:color w:val="1E293B"/>
                <w:sz w:val="16"/>
              </w:rPr>
              <w:t>POP_RUA</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8FAFC"/>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0,0417</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FFFFF"/>
            <w:tcMar>
              <w:top w:w="40" w:type="dxa"/>
              <w:bottom w:w="40" w:type="dxa"/>
              <w:left w:w="60" w:type="dxa"/>
              <w:right w:w="60" w:type="dxa"/>
            </w:tcMar>
          </w:tcPr>
          <w:p>
            <w:pPr>
              <w:spacing w:before="0" w:after="0" w:line="276" w:lineRule="auto"/>
              <w:jc w:val="center"/>
            </w:pPr>
            <w:r>
              <w:rPr>
                <w:rFonts w:ascii="Calibri" w:hAnsi="Calibri"/>
                <w:color w:val="1E293B"/>
                <w:sz w:val="16"/>
              </w:rPr>
              <w:t>17</w:t>
            </w:r>
          </w:p>
        </w:tc>
        <w:tc>
          <w:tcPr>
            <w:tcW w:type="dxa" w:w="2592"/>
            <w:shd w:fill="FFFFFF"/>
            <w:tcMar>
              <w:top w:w="40" w:type="dxa"/>
              <w:bottom w:w="40" w:type="dxa"/>
              <w:left w:w="60" w:type="dxa"/>
              <w:right w:w="60" w:type="dxa"/>
            </w:tcMar>
          </w:tcPr>
          <w:p>
            <w:pPr>
              <w:spacing w:before="0" w:after="0" w:line="276" w:lineRule="auto"/>
              <w:jc w:val="left"/>
            </w:pPr>
            <w:r>
              <w:rPr>
                <w:rFonts w:ascii="Calibri" w:hAnsi="Calibri"/>
                <w:b/>
                <w:color w:val="1E293B"/>
                <w:sz w:val="16"/>
              </w:rPr>
              <w:t>REGIAO</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FFFFF"/>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0,0388</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8FAFC"/>
            <w:tcMar>
              <w:top w:w="40" w:type="dxa"/>
              <w:bottom w:w="40" w:type="dxa"/>
              <w:left w:w="60" w:type="dxa"/>
              <w:right w:w="60" w:type="dxa"/>
            </w:tcMar>
          </w:tcPr>
          <w:p>
            <w:pPr>
              <w:spacing w:before="0" w:after="0" w:line="276" w:lineRule="auto"/>
              <w:jc w:val="center"/>
            </w:pPr>
            <w:r>
              <w:rPr>
                <w:rFonts w:ascii="Calibri" w:hAnsi="Calibri"/>
                <w:color w:val="1E293B"/>
                <w:sz w:val="16"/>
              </w:rPr>
              <w:t>18</w:t>
            </w:r>
          </w:p>
        </w:tc>
        <w:tc>
          <w:tcPr>
            <w:tcW w:type="dxa" w:w="2592"/>
            <w:shd w:fill="F8FAFC"/>
            <w:tcMar>
              <w:top w:w="40" w:type="dxa"/>
              <w:bottom w:w="40" w:type="dxa"/>
              <w:left w:w="60" w:type="dxa"/>
              <w:right w:w="60" w:type="dxa"/>
            </w:tcMar>
          </w:tcPr>
          <w:p>
            <w:pPr>
              <w:spacing w:before="0" w:after="0" w:line="276" w:lineRule="auto"/>
              <w:jc w:val="left"/>
            </w:pPr>
            <w:r>
              <w:rPr>
                <w:rFonts w:ascii="Calibri" w:hAnsi="Calibri"/>
                <w:b/>
                <w:color w:val="1E293B"/>
                <w:sz w:val="16"/>
              </w:rPr>
              <w:t>AGRAVOUTRA</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8FAFC"/>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0,0382</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FFFFF"/>
            <w:tcMar>
              <w:top w:w="40" w:type="dxa"/>
              <w:bottom w:w="40" w:type="dxa"/>
              <w:left w:w="60" w:type="dxa"/>
              <w:right w:w="60" w:type="dxa"/>
            </w:tcMar>
          </w:tcPr>
          <w:p>
            <w:pPr>
              <w:spacing w:before="0" w:after="0" w:line="276" w:lineRule="auto"/>
              <w:jc w:val="center"/>
            </w:pPr>
            <w:r>
              <w:rPr>
                <w:rFonts w:ascii="Calibri" w:hAnsi="Calibri"/>
                <w:color w:val="1E293B"/>
                <w:sz w:val="16"/>
              </w:rPr>
              <w:t>19</w:t>
            </w:r>
          </w:p>
        </w:tc>
        <w:tc>
          <w:tcPr>
            <w:tcW w:type="dxa" w:w="2592"/>
            <w:shd w:fill="FFFFFF"/>
            <w:tcMar>
              <w:top w:w="40" w:type="dxa"/>
              <w:bottom w:w="40" w:type="dxa"/>
              <w:left w:w="60" w:type="dxa"/>
              <w:right w:w="60" w:type="dxa"/>
            </w:tcMar>
          </w:tcPr>
          <w:p>
            <w:pPr>
              <w:spacing w:before="0" w:after="0" w:line="276" w:lineRule="auto"/>
              <w:jc w:val="left"/>
            </w:pPr>
            <w:r>
              <w:rPr>
                <w:rFonts w:ascii="Calibri" w:hAnsi="Calibri"/>
                <w:b/>
                <w:color w:val="1E293B"/>
                <w:sz w:val="16"/>
              </w:rPr>
              <w:t>POP_LIBER</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FFFFF"/>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0,0375</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8FAFC"/>
            <w:tcMar>
              <w:top w:w="40" w:type="dxa"/>
              <w:bottom w:w="40" w:type="dxa"/>
              <w:left w:w="60" w:type="dxa"/>
              <w:right w:w="60" w:type="dxa"/>
            </w:tcMar>
          </w:tcPr>
          <w:p>
            <w:pPr>
              <w:spacing w:before="0" w:after="0" w:line="276" w:lineRule="auto"/>
              <w:jc w:val="center"/>
            </w:pPr>
            <w:r>
              <w:rPr>
                <w:rFonts w:ascii="Calibri" w:hAnsi="Calibri"/>
                <w:color w:val="1E293B"/>
                <w:sz w:val="16"/>
              </w:rPr>
              <w:t>20</w:t>
            </w:r>
          </w:p>
        </w:tc>
        <w:tc>
          <w:tcPr>
            <w:tcW w:type="dxa" w:w="2592"/>
            <w:shd w:fill="F8FAFC"/>
            <w:tcMar>
              <w:top w:w="40" w:type="dxa"/>
              <w:bottom w:w="40" w:type="dxa"/>
              <w:left w:w="60" w:type="dxa"/>
              <w:right w:w="60" w:type="dxa"/>
            </w:tcMar>
          </w:tcPr>
          <w:p>
            <w:pPr>
              <w:spacing w:before="0" w:after="0" w:line="276" w:lineRule="auto"/>
              <w:jc w:val="left"/>
            </w:pPr>
            <w:r>
              <w:rPr>
                <w:rFonts w:ascii="Calibri" w:hAnsi="Calibri"/>
                <w:b/>
                <w:color w:val="1E293B"/>
                <w:sz w:val="16"/>
              </w:rPr>
              <w:t>NU_COMU_EX</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color w:val="1E293B"/>
                <w:sz w:val="16"/>
              </w:rPr>
              <w:t>Numérica</w:t>
            </w:r>
          </w:p>
        </w:tc>
        <w:tc>
          <w:tcPr>
            <w:tcW w:type="dxa" w:w="1872"/>
            <w:shd w:fill="F8FAFC"/>
            <w:tcMar>
              <w:top w:w="40" w:type="dxa"/>
              <w:bottom w:w="40" w:type="dxa"/>
              <w:left w:w="60" w:type="dxa"/>
              <w:right w:w="60" w:type="dxa"/>
            </w:tcMar>
          </w:tcPr>
          <w:p>
            <w:pPr>
              <w:spacing w:before="0" w:after="0" w:line="276" w:lineRule="auto"/>
              <w:jc w:val="center"/>
            </w:pPr>
            <w:r>
              <w:rPr>
                <w:rFonts w:ascii="Calibri" w:hAnsi="Calibri"/>
                <w:color w:val="1E293B"/>
                <w:sz w:val="16"/>
              </w:rPr>
              <w:t>Ponto-Bisserial (|r|)</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0,0367</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FFFFF"/>
            <w:tcMar>
              <w:top w:w="40" w:type="dxa"/>
              <w:bottom w:w="40" w:type="dxa"/>
              <w:left w:w="60" w:type="dxa"/>
              <w:right w:w="60" w:type="dxa"/>
            </w:tcMar>
          </w:tcPr>
          <w:p>
            <w:pPr>
              <w:spacing w:before="0" w:after="0" w:line="276" w:lineRule="auto"/>
              <w:jc w:val="center"/>
            </w:pPr>
            <w:r>
              <w:rPr>
                <w:rFonts w:ascii="Calibri" w:hAnsi="Calibri"/>
                <w:color w:val="1E293B"/>
                <w:sz w:val="16"/>
              </w:rPr>
              <w:t>21</w:t>
            </w:r>
          </w:p>
        </w:tc>
        <w:tc>
          <w:tcPr>
            <w:tcW w:type="dxa" w:w="2592"/>
            <w:shd w:fill="FFFFFF"/>
            <w:tcMar>
              <w:top w:w="40" w:type="dxa"/>
              <w:bottom w:w="40" w:type="dxa"/>
              <w:left w:w="60" w:type="dxa"/>
              <w:right w:w="60" w:type="dxa"/>
            </w:tcMar>
          </w:tcPr>
          <w:p>
            <w:pPr>
              <w:spacing w:before="0" w:after="0" w:line="276" w:lineRule="auto"/>
              <w:jc w:val="left"/>
            </w:pPr>
            <w:r>
              <w:rPr>
                <w:rFonts w:ascii="Calibri" w:hAnsi="Calibri"/>
                <w:b/>
                <w:color w:val="1E293B"/>
                <w:sz w:val="16"/>
              </w:rPr>
              <w:t>TPUNINOT</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FFFFF"/>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0,0335</w:t>
            </w:r>
          </w:p>
        </w:tc>
        <w:tc>
          <w:tcPr>
            <w:tcW w:type="dxa" w:w="1152"/>
            <w:shd w:fill="FFFFFF"/>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FFFFF"/>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8FAFC"/>
            <w:tcMar>
              <w:top w:w="40" w:type="dxa"/>
              <w:bottom w:w="40" w:type="dxa"/>
              <w:left w:w="60" w:type="dxa"/>
              <w:right w:w="60" w:type="dxa"/>
            </w:tcMar>
          </w:tcPr>
          <w:p>
            <w:pPr>
              <w:spacing w:before="0" w:after="0" w:line="276" w:lineRule="auto"/>
              <w:jc w:val="center"/>
            </w:pPr>
            <w:r>
              <w:rPr>
                <w:rFonts w:ascii="Calibri" w:hAnsi="Calibri"/>
                <w:color w:val="1E293B"/>
                <w:sz w:val="16"/>
              </w:rPr>
              <w:t>22</w:t>
            </w:r>
          </w:p>
        </w:tc>
        <w:tc>
          <w:tcPr>
            <w:tcW w:type="dxa" w:w="2592"/>
            <w:shd w:fill="F8FAFC"/>
            <w:tcMar>
              <w:top w:w="40" w:type="dxa"/>
              <w:bottom w:w="40" w:type="dxa"/>
              <w:left w:w="60" w:type="dxa"/>
              <w:right w:w="60" w:type="dxa"/>
            </w:tcMar>
          </w:tcPr>
          <w:p>
            <w:pPr>
              <w:spacing w:before="0" w:after="0" w:line="276" w:lineRule="auto"/>
              <w:jc w:val="left"/>
            </w:pPr>
            <w:r>
              <w:rPr>
                <w:rFonts w:ascii="Calibri" w:hAnsi="Calibri"/>
                <w:b/>
                <w:color w:val="1E293B"/>
                <w:sz w:val="16"/>
              </w:rPr>
              <w:t>CRITERIO_LABORATORIAL</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color w:val="1E293B"/>
                <w:sz w:val="16"/>
              </w:rPr>
              <w:t>Categórica</w:t>
            </w:r>
          </w:p>
        </w:tc>
        <w:tc>
          <w:tcPr>
            <w:tcW w:type="dxa" w:w="1872"/>
            <w:shd w:fill="F8FAFC"/>
            <w:tcMar>
              <w:top w:w="40" w:type="dxa"/>
              <w:bottom w:w="40" w:type="dxa"/>
              <w:left w:w="60" w:type="dxa"/>
              <w:right w:w="60" w:type="dxa"/>
            </w:tcMar>
          </w:tcPr>
          <w:p>
            <w:pPr>
              <w:spacing w:before="0" w:after="0" w:line="276" w:lineRule="auto"/>
              <w:jc w:val="center"/>
            </w:pPr>
            <w:r>
              <w:rPr>
                <w:rFonts w:ascii="Calibri" w:hAnsi="Calibri"/>
                <w:color w:val="1E293B"/>
                <w:sz w:val="16"/>
              </w:rPr>
              <w:t>V de Cramér</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0,0326</w:t>
            </w:r>
          </w:p>
        </w:tc>
        <w:tc>
          <w:tcPr>
            <w:tcW w:type="dxa" w:w="1152"/>
            <w:shd w:fill="F8FAFC"/>
            <w:tcMar>
              <w:top w:w="40" w:type="dxa"/>
              <w:bottom w:w="40" w:type="dxa"/>
              <w:left w:w="60" w:type="dxa"/>
              <w:right w:w="60" w:type="dxa"/>
            </w:tcMar>
          </w:tcPr>
          <w:p>
            <w:pPr>
              <w:spacing w:before="0" w:after="0" w:line="276" w:lineRule="auto"/>
              <w:jc w:val="center"/>
            </w:pPr>
            <w:r>
              <w:rPr>
                <w:rFonts w:ascii="Calibri" w:hAnsi="Calibri"/>
                <w:color w:val="1E293B"/>
                <w:sz w:val="16"/>
              </w:rPr>
              <w:t>&lt; 10^-300</w:t>
            </w:r>
          </w:p>
        </w:tc>
        <w:tc>
          <w:tcPr>
            <w:tcW w:type="dxa" w:w="1296"/>
            <w:shd w:fill="F8FAFC"/>
            <w:tcMar>
              <w:top w:w="40" w:type="dxa"/>
              <w:bottom w:w="40" w:type="dxa"/>
              <w:left w:w="60" w:type="dxa"/>
              <w:right w:w="60" w:type="dxa"/>
            </w:tcMar>
          </w:tcPr>
          <w:p>
            <w:pPr>
              <w:spacing w:before="0" w:after="0" w:line="276" w:lineRule="auto"/>
              <w:jc w:val="center"/>
            </w:pPr>
            <w:r>
              <w:rPr>
                <w:rFonts w:ascii="Calibri" w:hAnsi="Calibri"/>
                <w:b/>
                <w:color w:val="1E293B"/>
                <w:sz w:val="16"/>
              </w:rPr>
              <w:t>Mantido</w:t>
            </w:r>
          </w:p>
        </w:tc>
      </w:tr>
      <w:tr>
        <w:tc>
          <w:tcPr>
            <w:tcW w:type="dxa" w:w="720"/>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23</w:t>
            </w:r>
          </w:p>
        </w:tc>
        <w:tc>
          <w:tcPr>
            <w:tcW w:type="dxa" w:w="2592"/>
            <w:shd w:fill="FFF5F5"/>
            <w:tcMar>
              <w:top w:w="40" w:type="dxa"/>
              <w:bottom w:w="40" w:type="dxa"/>
              <w:left w:w="60" w:type="dxa"/>
              <w:right w:w="60" w:type="dxa"/>
            </w:tcMar>
          </w:tcPr>
          <w:p>
            <w:pPr>
              <w:spacing w:before="0" w:after="0" w:line="276" w:lineRule="auto"/>
              <w:jc w:val="left"/>
            </w:pPr>
            <w:r>
              <w:rPr>
                <w:rFonts w:ascii="Calibri" w:hAnsi="Calibri"/>
                <w:i/>
                <w:color w:val="991B1B"/>
                <w:sz w:val="16"/>
              </w:rPr>
              <w:t>BACILOSC_E</w:t>
            </w:r>
          </w:p>
        </w:tc>
        <w:tc>
          <w:tcPr>
            <w:tcW w:type="dxa" w:w="1296"/>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Categórica</w:t>
            </w:r>
          </w:p>
        </w:tc>
        <w:tc>
          <w:tcPr>
            <w:tcW w:type="dxa" w:w="1872"/>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V de Cramér</w:t>
            </w:r>
          </w:p>
        </w:tc>
        <w:tc>
          <w:tcPr>
            <w:tcW w:type="dxa" w:w="1152"/>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0,0264</w:t>
            </w:r>
          </w:p>
        </w:tc>
        <w:tc>
          <w:tcPr>
            <w:tcW w:type="dxa" w:w="1152"/>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&lt; 10^-300</w:t>
            </w:r>
          </w:p>
        </w:tc>
        <w:tc>
          <w:tcPr>
            <w:tcW w:type="dxa" w:w="1296"/>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Descartado</w:t>
            </w:r>
          </w:p>
        </w:tc>
      </w:tr>
      <w:tr>
        <w:tc>
          <w:tcPr>
            <w:tcW w:type="dxa" w:w="720"/>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24</w:t>
            </w:r>
          </w:p>
        </w:tc>
        <w:tc>
          <w:tcPr>
            <w:tcW w:type="dxa" w:w="2592"/>
            <w:shd w:fill="FFF5F5"/>
            <w:tcMar>
              <w:top w:w="40" w:type="dxa"/>
              <w:bottom w:w="40" w:type="dxa"/>
              <w:left w:w="60" w:type="dxa"/>
              <w:right w:w="60" w:type="dxa"/>
            </w:tcMar>
          </w:tcPr>
          <w:p>
            <w:pPr>
              <w:spacing w:before="0" w:after="0" w:line="276" w:lineRule="auto"/>
              <w:jc w:val="left"/>
            </w:pPr>
            <w:r>
              <w:rPr>
                <w:rFonts w:ascii="Calibri" w:hAnsi="Calibri"/>
                <w:i/>
                <w:color w:val="991B1B"/>
                <w:sz w:val="16"/>
              </w:rPr>
              <w:t>POP_SAUDE</w:t>
            </w:r>
          </w:p>
        </w:tc>
        <w:tc>
          <w:tcPr>
            <w:tcW w:type="dxa" w:w="1296"/>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Categórica</w:t>
            </w:r>
          </w:p>
        </w:tc>
        <w:tc>
          <w:tcPr>
            <w:tcW w:type="dxa" w:w="1872"/>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V de Cramér</w:t>
            </w:r>
          </w:p>
        </w:tc>
        <w:tc>
          <w:tcPr>
            <w:tcW w:type="dxa" w:w="1152"/>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0,0098</w:t>
            </w:r>
          </w:p>
        </w:tc>
        <w:tc>
          <w:tcPr>
            <w:tcW w:type="dxa" w:w="1152"/>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&lt; 10^-300</w:t>
            </w:r>
          </w:p>
        </w:tc>
        <w:tc>
          <w:tcPr>
            <w:tcW w:type="dxa" w:w="1296"/>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Descartado</w:t>
            </w:r>
          </w:p>
        </w:tc>
      </w:tr>
      <w:tr>
        <w:tc>
          <w:tcPr>
            <w:tcW w:type="dxa" w:w="720"/>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25</w:t>
            </w:r>
          </w:p>
        </w:tc>
        <w:tc>
          <w:tcPr>
            <w:tcW w:type="dxa" w:w="2592"/>
            <w:shd w:fill="FFF5F5"/>
            <w:tcMar>
              <w:top w:w="40" w:type="dxa"/>
              <w:bottom w:w="40" w:type="dxa"/>
              <w:left w:w="60" w:type="dxa"/>
              <w:right w:w="60" w:type="dxa"/>
            </w:tcMar>
          </w:tcPr>
          <w:p>
            <w:pPr>
              <w:spacing w:before="0" w:after="0" w:line="276" w:lineRule="auto"/>
              <w:jc w:val="left"/>
            </w:pPr>
            <w:r>
              <w:rPr>
                <w:rFonts w:ascii="Calibri" w:hAnsi="Calibri"/>
                <w:i/>
                <w:color w:val="991B1B"/>
                <w:sz w:val="16"/>
              </w:rPr>
              <w:t>POP_IMIG</w:t>
            </w:r>
          </w:p>
        </w:tc>
        <w:tc>
          <w:tcPr>
            <w:tcW w:type="dxa" w:w="1296"/>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Categórica</w:t>
            </w:r>
          </w:p>
        </w:tc>
        <w:tc>
          <w:tcPr>
            <w:tcW w:type="dxa" w:w="1872"/>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V de Cramér</w:t>
            </w:r>
          </w:p>
        </w:tc>
        <w:tc>
          <w:tcPr>
            <w:tcW w:type="dxa" w:w="1152"/>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0,0090</w:t>
            </w:r>
          </w:p>
        </w:tc>
        <w:tc>
          <w:tcPr>
            <w:tcW w:type="dxa" w:w="1152"/>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&lt; 10^-300</w:t>
            </w:r>
          </w:p>
        </w:tc>
        <w:tc>
          <w:tcPr>
            <w:tcW w:type="dxa" w:w="1296"/>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Descartado</w:t>
            </w:r>
          </w:p>
        </w:tc>
      </w:tr>
      <w:tr>
        <w:tc>
          <w:tcPr>
            <w:tcW w:type="dxa" w:w="720"/>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26</w:t>
            </w:r>
          </w:p>
        </w:tc>
        <w:tc>
          <w:tcPr>
            <w:tcW w:type="dxa" w:w="2592"/>
            <w:shd w:fill="FFF5F5"/>
            <w:tcMar>
              <w:top w:w="40" w:type="dxa"/>
              <w:bottom w:w="40" w:type="dxa"/>
              <w:left w:w="60" w:type="dxa"/>
              <w:right w:w="60" w:type="dxa"/>
            </w:tcMar>
          </w:tcPr>
          <w:p>
            <w:pPr>
              <w:spacing w:before="0" w:after="0" w:line="276" w:lineRule="auto"/>
              <w:jc w:val="left"/>
            </w:pPr>
            <w:r>
              <w:rPr>
                <w:rFonts w:ascii="Calibri" w:hAnsi="Calibri"/>
                <w:i/>
                <w:color w:val="991B1B"/>
                <w:sz w:val="16"/>
              </w:rPr>
              <w:t>CS_RACA</w:t>
            </w:r>
          </w:p>
        </w:tc>
        <w:tc>
          <w:tcPr>
            <w:tcW w:type="dxa" w:w="1296"/>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Categórica</w:t>
            </w:r>
          </w:p>
        </w:tc>
        <w:tc>
          <w:tcPr>
            <w:tcW w:type="dxa" w:w="1872"/>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V de Cramér</w:t>
            </w:r>
          </w:p>
        </w:tc>
        <w:tc>
          <w:tcPr>
            <w:tcW w:type="dxa" w:w="1152"/>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0,0077</w:t>
            </w:r>
          </w:p>
        </w:tc>
        <w:tc>
          <w:tcPr>
            <w:tcW w:type="dxa" w:w="1152"/>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&lt; 10^-300</w:t>
            </w:r>
          </w:p>
        </w:tc>
        <w:tc>
          <w:tcPr>
            <w:tcW w:type="dxa" w:w="1296"/>
            <w:shd w:fill="FFF5F5"/>
            <w:tcMar>
              <w:top w:w="40" w:type="dxa"/>
              <w:bottom w:w="40" w:type="dxa"/>
              <w:left w:w="60" w:type="dxa"/>
              <w:right w:w="60" w:type="dxa"/>
            </w:tcMar>
          </w:tcPr>
          <w:p>
            <w:pPr>
              <w:spacing w:before="0" w:after="0" w:line="276" w:lineRule="auto"/>
              <w:jc w:val="center"/>
            </w:pPr>
            <w:r>
              <w:rPr>
                <w:rFonts w:ascii="Calibri" w:hAnsi="Calibri"/>
                <w:i/>
                <w:color w:val="991B1B"/>
                <w:sz w:val="16"/>
              </w:rPr>
              <w:t>Descartado</w:t>
            </w:r>
          </w:p>
        </w:tc>
      </w:tr>
    </w:tbl>
    <w:p>
      <w:pPr>
        <w:pStyle w:val="Heading2"/>
        <w:keepNext/>
        <w:spacing w:before="240" w:after="80"/>
      </w:pPr>
      <w:r>
        <w:rPr>
          <w:rFonts w:ascii="Calibri" w:hAnsi="Calibri"/>
          <w:b/>
          <w:color w:val="2B547E"/>
          <w:sz w:val="24"/>
        </w:rPr>
        <w:t>4.3 Justificativa do Ponto de Corte (Top 22 Preditores)</w:t>
      </w:r>
    </w:p>
    <w:p>
      <w:pPr>
        <w:spacing w:before="0" w:after="120" w:line="276" w:lineRule="auto"/>
        <w:jc w:val="both"/>
      </w:pPr>
      <w:r>
        <w:t xml:space="preserve">Para atender à meta de manter entre 20 e 30 preditores, fixou-se o corte no </w:t>
      </w:r>
      <w:r>
        <w:rPr>
          <w:b/>
        </w:rPr>
        <w:t>Top 22 atributos</w:t>
      </w:r>
      <w:r>
        <w:t xml:space="preserve"> (V ≥ 0,0325). As quatro variáveis descartadas apresentavam limitações conceituais e empíricas evidentes:</w:t>
        <w:br/>
      </w:r>
      <w:r>
        <w:t xml:space="preserve">• </w:t>
      </w:r>
      <w:r>
        <w:rPr>
          <w:b/>
        </w:rPr>
        <w:t>BACILOSC_E:</w:t>
      </w:r>
      <w:r>
        <w:t xml:space="preserve"> O resultado da baciloscopia de escarro inicial possui redundância biológica com o critério laboratorial de confirmação (CRITERIO_LABORATORIAL) e o exame radiológico (RAIOX_TORA).</w:t>
        <w:br/>
      </w:r>
      <w:r>
        <w:t xml:space="preserve">• </w:t>
      </w:r>
      <w:r>
        <w:rPr>
          <w:b/>
        </w:rPr>
        <w:t>POP_SAUDE:</w:t>
      </w:r>
      <w:r>
        <w:t xml:space="preserve"> A condição de profissional de saúde exibe frequência extremamente reduzida na coorte pulmonar geral e baixo poder discriminante independente sobre o desfecho de óbito.</w:t>
        <w:br/>
      </w:r>
      <w:r>
        <w:t xml:space="preserve">• </w:t>
      </w:r>
      <w:r>
        <w:rPr>
          <w:b/>
        </w:rPr>
        <w:t>POP_IMIG:</w:t>
      </w:r>
      <w:r>
        <w:t xml:space="preserve"> População imigrante apresenta concentração geográfica específica e associação fraca com a mortalidade no SINAN.</w:t>
        <w:br/>
      </w:r>
      <w:r>
        <w:t xml:space="preserve">• </w:t>
      </w:r>
      <w:r>
        <w:rPr>
          <w:b/>
        </w:rPr>
        <w:t>CS_RACA:</w:t>
      </w:r>
      <w:r>
        <w:t xml:space="preserve"> Variável com preenchimento heterogêneo entre municípios e a menor correlação univariada com a sobrevida do paciente no banco de dados.</w:t>
      </w:r>
    </w:p>
    <w:p>
      <w:pPr>
        <w:pStyle w:val="Heading1"/>
        <w:keepNext/>
        <w:spacing w:before="320" w:after="120"/>
      </w:pPr>
      <w:r>
        <w:rPr>
          <w:rFonts w:ascii="Calibri" w:hAnsi="Calibri"/>
          <w:b/>
          <w:color w:val="1B365D"/>
          <w:sz w:val="28"/>
        </w:rPr>
        <w:t>5. Balanceamento de Classes por Random Undersampling</w:t>
      </w:r>
    </w:p>
    <w:p>
      <w:pPr>
        <w:pStyle w:val="Heading2"/>
        <w:keepNext/>
        <w:spacing w:before="240" w:after="80"/>
      </w:pPr>
      <w:r>
        <w:rPr>
          <w:rFonts w:ascii="Calibri" w:hAnsi="Calibri"/>
          <w:b/>
          <w:color w:val="2B547E"/>
          <w:sz w:val="24"/>
        </w:rPr>
        <w:t>5.1 Rejeição do Método NearMiss</w:t>
      </w:r>
    </w:p>
    <w:p>
      <w:pPr>
        <w:spacing w:before="0" w:after="120" w:line="276" w:lineRule="auto"/>
        <w:jc w:val="both"/>
      </w:pPr>
      <w:r>
        <w:t>O método NearMiss baseia-se na seleção de instâncias majoritárias próximas aos exemplos da classe minoritária através do cálculo de distâncias euclidianas via k-Nearest Neighbors (k-NN). Em uma partição com 455.019 curas e 24.435 óbitos, o NearMiss apresenta inviabilidade técnica categórica:</w:t>
        <w:br/>
      </w:r>
      <w:r>
        <w:t xml:space="preserve">1. </w:t>
      </w:r>
      <w:r>
        <w:rPr>
          <w:b/>
        </w:rPr>
        <w:t>Custo Computacional Proibitivo:</w:t>
      </w:r>
      <w:r>
        <w:t xml:space="preserve"> A matriz de distâncias exige mais de 1,1 × 10^10 operações vetoriais de ponto flutuante, provocando estouro de memória RAM (Out-Of-Memory) e tempo de execução na escala de dezenas de horas.</w:t>
        <w:br/>
      </w:r>
      <w:r>
        <w:t xml:space="preserve">2. </w:t>
      </w:r>
      <w:r>
        <w:rPr>
          <w:b/>
        </w:rPr>
        <w:t>Viés de Fronteira e Ruído Epidemiológico:</w:t>
      </w:r>
      <w:r>
        <w:t xml:space="preserve"> O NearMiss seleciona prioritariamente casos na fronteira de decisão. Em dados secundários de vigilância em saúde que possuem subnotificação e ruído clínico, ele tende a selecionar casos anômalos de pacientes graves que se curaram fortuitamente, degradando a capacidade de generalização e induzindo falsos positivos excessivos no mundo real.</w:t>
      </w:r>
    </w:p>
    <w:p>
      <w:pPr>
        <w:pStyle w:val="Heading2"/>
        <w:keepNext/>
        <w:spacing w:before="240" w:after="80"/>
      </w:pPr>
      <w:r>
        <w:rPr>
          <w:rFonts w:ascii="Calibri" w:hAnsi="Calibri"/>
          <w:b/>
          <w:color w:val="2B547E"/>
          <w:sz w:val="24"/>
        </w:rPr>
        <w:t>5.2 Superioridade do Random Undersampling (RUS)</w:t>
      </w:r>
    </w:p>
    <w:p>
      <w:pPr>
        <w:spacing w:before="0" w:after="120" w:line="276" w:lineRule="auto"/>
        <w:jc w:val="both"/>
      </w:pPr>
      <w:r>
        <w:t xml:space="preserve">Adotou-se o </w:t>
      </w:r>
      <w:r>
        <w:rPr>
          <w:b/>
        </w:rPr>
        <w:t>Random Undersampling (RUS) na proporção 1:1</w:t>
      </w:r>
      <w:r>
        <w:t xml:space="preserve"> aplicado unicamente sobre a classe majoritária ('Cura') no conjunto de treino:</w:t>
        <w:br/>
      </w:r>
      <w:r>
        <w:t xml:space="preserve">• </w:t>
      </w:r>
      <w:r>
        <w:rPr>
          <w:b/>
        </w:rPr>
        <w:t>Eficiência Computacional:</w:t>
      </w:r>
      <w:r>
        <w:t xml:space="preserve"> Complexidade linear O(N), completando a amostragem em milissegundos.</w:t>
        <w:br/>
      </w:r>
      <w:r>
        <w:t xml:space="preserve">• </w:t>
      </w:r>
      <w:r>
        <w:rPr>
          <w:b/>
        </w:rPr>
        <w:t>Preservação Ecológica:</w:t>
      </w:r>
      <w:r>
        <w:t xml:space="preserve"> Preserva a densidade estatística e geográfica dos casos de cura de todas as macrorregiões do país.</w:t>
        <w:br/>
      </w:r>
      <w:r>
        <w:t xml:space="preserve">• </w:t>
      </w:r>
      <w:r>
        <w:rPr>
          <w:b/>
        </w:rPr>
        <w:t>Robustez Amostral:</w:t>
      </w:r>
      <w:r>
        <w:t xml:space="preserve"> O conjunto de treino pós-balanceamento retém </w:t>
      </w:r>
      <w:r>
        <w:rPr>
          <w:b/>
        </w:rPr>
        <w:t>48.870 casos (24.435 curas e 24.435 óbitos por TB)</w:t>
      </w:r>
      <w:r>
        <w:t>, volume estatisticamente sólido para treinamento de algoritmos de aprendizado de máquina supervisionado.</w:t>
      </w:r>
    </w:p>
    <w:p>
      <w:pPr>
        <w:pStyle w:val="Heading2"/>
        <w:keepNext/>
        <w:spacing w:before="240" w:after="80"/>
      </w:pPr>
      <w:r>
        <w:rPr>
          <w:rFonts w:ascii="Calibri" w:hAnsi="Calibri"/>
          <w:b/>
          <w:color w:val="2B547E"/>
          <w:sz w:val="24"/>
        </w:rPr>
        <w:t>5.3 Tabela Comparativa de Classes nas Partições</w:t>
      </w:r>
    </w:p>
    <w:p>
      <w:pPr>
        <w:spacing w:before="120" w:after="60" w:line="276" w:lineRule="auto"/>
        <w:jc w:val="left"/>
      </w:pPr>
      <w:r>
        <w:rPr>
          <w:rFonts w:ascii="Calibri" w:hAnsi="Calibri"/>
          <w:b/>
          <w:color w:val="1B365D"/>
          <w:sz w:val="19"/>
        </w:rPr>
        <w:t>Tabela 3 — Distribuição das Classes (Cura vs. Óbito por TB) antes e após Balanceamento</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1567"/>
        <w:gridCol w:w="1567"/>
        <w:gridCol w:w="1567"/>
        <w:gridCol w:w="1567"/>
        <w:gridCol w:w="1567"/>
        <w:gridCol w:w="1567"/>
      </w:tblGrid>
      <w:tr>
        <w:tc>
          <w:tcPr>
            <w:tcW w:type="dxa" w:w="3600"/>
            <w:shd w:fill="1B365D"/>
            <w:tcMar>
              <w:top w:w="60" w:type="dxa"/>
              <w:bottom w:w="60" w:type="dxa"/>
              <w:left w:w="60" w:type="dxa"/>
              <w:right w:w="60" w:type="dxa"/>
            </w:tcMar>
          </w:tcPr>
          <w:p>
            <w:pPr>
              <w:spacing w:before="0" w:after="0" w:line="276" w:lineRule="auto"/>
              <w:jc w:val="center"/>
            </w:pPr>
            <w:r>
              <w:rPr>
                <w:rFonts w:ascii="Calibri" w:hAnsi="Calibri"/>
                <w:b/>
                <w:color w:val="FFFFFF"/>
                <w:sz w:val="17"/>
              </w:rPr>
              <w:t>Partição</w:t>
            </w:r>
          </w:p>
        </w:tc>
        <w:tc>
          <w:tcPr>
            <w:tcW w:type="dxa" w:w="1296"/>
            <w:shd w:fill="1B365D"/>
            <w:tcMar>
              <w:top w:w="60" w:type="dxa"/>
              <w:bottom w:w="60" w:type="dxa"/>
              <w:left w:w="60" w:type="dxa"/>
              <w:right w:w="60" w:type="dxa"/>
            </w:tcMar>
          </w:tcPr>
          <w:p>
            <w:pPr>
              <w:spacing w:before="0" w:after="0" w:line="276" w:lineRule="auto"/>
              <w:jc w:val="center"/>
            </w:pPr>
            <w:r>
              <w:rPr>
                <w:rFonts w:ascii="Calibri" w:hAnsi="Calibri"/>
                <w:b/>
                <w:color w:val="FFFFFF"/>
                <w:sz w:val="17"/>
              </w:rPr>
              <w:t>Cura (N)</w:t>
            </w:r>
          </w:p>
        </w:tc>
        <w:tc>
          <w:tcPr>
            <w:tcW w:type="dxa" w:w="1152"/>
            <w:shd w:fill="1B365D"/>
            <w:tcMar>
              <w:top w:w="60" w:type="dxa"/>
              <w:bottom w:w="60" w:type="dxa"/>
              <w:left w:w="60" w:type="dxa"/>
              <w:right w:w="60" w:type="dxa"/>
            </w:tcMar>
          </w:tcPr>
          <w:p>
            <w:pPr>
              <w:spacing w:before="0" w:after="0" w:line="276" w:lineRule="auto"/>
              <w:jc w:val="center"/>
            </w:pPr>
            <w:r>
              <w:rPr>
                <w:rFonts w:ascii="Calibri" w:hAnsi="Calibri"/>
                <w:b/>
                <w:color w:val="FFFFFF"/>
                <w:sz w:val="17"/>
              </w:rPr>
              <w:t>Cura (%)</w:t>
            </w:r>
          </w:p>
        </w:tc>
        <w:tc>
          <w:tcPr>
            <w:tcW w:type="dxa" w:w="1584"/>
            <w:shd w:fill="1B365D"/>
            <w:tcMar>
              <w:top w:w="60" w:type="dxa"/>
              <w:bottom w:w="60" w:type="dxa"/>
              <w:left w:w="60" w:type="dxa"/>
              <w:right w:w="60" w:type="dxa"/>
            </w:tcMar>
          </w:tcPr>
          <w:p>
            <w:pPr>
              <w:spacing w:before="0" w:after="0" w:line="276" w:lineRule="auto"/>
              <w:jc w:val="center"/>
            </w:pPr>
            <w:r>
              <w:rPr>
                <w:rFonts w:ascii="Calibri" w:hAnsi="Calibri"/>
                <w:b/>
                <w:color w:val="FFFFFF"/>
                <w:sz w:val="17"/>
              </w:rPr>
              <w:t>Óbito por TB (N)</w:t>
            </w:r>
          </w:p>
        </w:tc>
        <w:tc>
          <w:tcPr>
            <w:tcW w:type="dxa" w:w="1440"/>
            <w:shd w:fill="1B365D"/>
            <w:tcMar>
              <w:top w:w="60" w:type="dxa"/>
              <w:bottom w:w="60" w:type="dxa"/>
              <w:left w:w="60" w:type="dxa"/>
              <w:right w:w="60" w:type="dxa"/>
            </w:tcMar>
          </w:tcPr>
          <w:p>
            <w:pPr>
              <w:spacing w:before="0" w:after="0" w:line="276" w:lineRule="auto"/>
              <w:jc w:val="center"/>
            </w:pPr>
            <w:r>
              <w:rPr>
                <w:rFonts w:ascii="Calibri" w:hAnsi="Calibri"/>
                <w:b/>
                <w:color w:val="FFFFFF"/>
                <w:sz w:val="17"/>
              </w:rPr>
              <w:t>Óbito por TB (%)</w:t>
            </w:r>
          </w:p>
        </w:tc>
        <w:tc>
          <w:tcPr>
            <w:tcW w:type="dxa" w:w="1296"/>
            <w:shd w:fill="1B365D"/>
            <w:tcMar>
              <w:top w:w="60" w:type="dxa"/>
              <w:bottom w:w="60" w:type="dxa"/>
              <w:left w:w="60" w:type="dxa"/>
              <w:right w:w="60" w:type="dxa"/>
            </w:tcMar>
          </w:tcPr>
          <w:p>
            <w:pPr>
              <w:spacing w:before="0" w:after="0" w:line="276" w:lineRule="auto"/>
              <w:jc w:val="center"/>
            </w:pPr>
            <w:r>
              <w:rPr>
                <w:rFonts w:ascii="Calibri" w:hAnsi="Calibri"/>
                <w:b/>
                <w:color w:val="FFFFFF"/>
                <w:sz w:val="17"/>
              </w:rPr>
              <w:t>Total</w:t>
            </w:r>
          </w:p>
        </w:tc>
      </w:tr>
      <w:tr>
        <w:tc>
          <w:tcPr>
            <w:tcW w:type="dxa" w:w="3600"/>
            <w:shd w:fill="FFFFFF"/>
            <w:tcMar>
              <w:top w:w="50" w:type="dxa"/>
              <w:bottom w:w="50" w:type="dxa"/>
              <w:left w:w="60" w:type="dxa"/>
              <w:right w:w="60" w:type="dxa"/>
            </w:tcMar>
          </w:tcPr>
          <w:p>
            <w:pPr>
              <w:spacing w:before="0" w:after="0" w:line="276" w:lineRule="auto"/>
              <w:jc w:val="left"/>
            </w:pPr>
            <w:r>
              <w:rPr>
                <w:rFonts w:ascii="Calibri" w:hAnsi="Calibri"/>
                <w:b/>
                <w:color w:val="1E293B"/>
                <w:sz w:val="17"/>
              </w:rPr>
              <w:t>Treino (Original)</w:t>
            </w:r>
          </w:p>
        </w:tc>
        <w:tc>
          <w:tcPr>
            <w:tcW w:type="dxa" w:w="1296"/>
            <w:shd w:fill="FFFFFF"/>
            <w:tcMar>
              <w:top w:w="50" w:type="dxa"/>
              <w:bottom w:w="50" w:type="dxa"/>
              <w:left w:w="60" w:type="dxa"/>
              <w:right w:w="60" w:type="dxa"/>
            </w:tcMar>
          </w:tcPr>
          <w:p>
            <w:pPr>
              <w:spacing w:before="0" w:after="0" w:line="276" w:lineRule="auto"/>
              <w:jc w:val="center"/>
            </w:pPr>
            <w:r>
              <w:rPr>
                <w:rFonts w:ascii="Calibri" w:hAnsi="Calibri"/>
                <w:color w:val="1E293B"/>
                <w:sz w:val="17"/>
              </w:rPr>
              <w:t>455.019</w:t>
            </w:r>
          </w:p>
        </w:tc>
        <w:tc>
          <w:tcPr>
            <w:tcW w:type="dxa" w:w="1152"/>
            <w:shd w:fill="FFFFFF"/>
            <w:tcMar>
              <w:top w:w="50" w:type="dxa"/>
              <w:bottom w:w="50" w:type="dxa"/>
              <w:left w:w="60" w:type="dxa"/>
              <w:right w:w="60" w:type="dxa"/>
            </w:tcMar>
          </w:tcPr>
          <w:p>
            <w:pPr>
              <w:spacing w:before="0" w:after="0" w:line="276" w:lineRule="auto"/>
              <w:jc w:val="center"/>
            </w:pPr>
            <w:r>
              <w:rPr>
                <w:rFonts w:ascii="Calibri" w:hAnsi="Calibri"/>
                <w:color w:val="1E293B"/>
                <w:sz w:val="17"/>
              </w:rPr>
              <w:t>94,90%</w:t>
            </w:r>
          </w:p>
        </w:tc>
        <w:tc>
          <w:tcPr>
            <w:tcW w:type="dxa" w:w="1584"/>
            <w:shd w:fill="FFFFFF"/>
            <w:tcMar>
              <w:top w:w="50" w:type="dxa"/>
              <w:bottom w:w="50" w:type="dxa"/>
              <w:left w:w="60" w:type="dxa"/>
              <w:right w:w="60" w:type="dxa"/>
            </w:tcMar>
          </w:tcPr>
          <w:p>
            <w:pPr>
              <w:spacing w:before="0" w:after="0" w:line="276" w:lineRule="auto"/>
              <w:jc w:val="center"/>
            </w:pPr>
            <w:r>
              <w:rPr>
                <w:rFonts w:ascii="Calibri" w:hAnsi="Calibri"/>
                <w:color w:val="1E293B"/>
                <w:sz w:val="17"/>
              </w:rPr>
              <w:t>24.435</w:t>
            </w:r>
          </w:p>
        </w:tc>
        <w:tc>
          <w:tcPr>
            <w:tcW w:type="dxa" w:w="1440"/>
            <w:shd w:fill="FFFFFF"/>
            <w:tcMar>
              <w:top w:w="50" w:type="dxa"/>
              <w:bottom w:w="50" w:type="dxa"/>
              <w:left w:w="60" w:type="dxa"/>
              <w:right w:w="60" w:type="dxa"/>
            </w:tcMar>
          </w:tcPr>
          <w:p>
            <w:pPr>
              <w:spacing w:before="0" w:after="0" w:line="276" w:lineRule="auto"/>
              <w:jc w:val="center"/>
            </w:pPr>
            <w:r>
              <w:rPr>
                <w:rFonts w:ascii="Calibri" w:hAnsi="Calibri"/>
                <w:color w:val="1E293B"/>
                <w:sz w:val="17"/>
              </w:rPr>
              <w:t>5,10%</w:t>
            </w:r>
          </w:p>
        </w:tc>
        <w:tc>
          <w:tcPr>
            <w:tcW w:type="dxa" w:w="1296"/>
            <w:shd w:fill="FFFFFF"/>
            <w:tcMar>
              <w:top w:w="50" w:type="dxa"/>
              <w:bottom w:w="50" w:type="dxa"/>
              <w:left w:w="60" w:type="dxa"/>
              <w:right w:w="60" w:type="dxa"/>
            </w:tcMar>
          </w:tcPr>
          <w:p>
            <w:pPr>
              <w:spacing w:before="0" w:after="0" w:line="276" w:lineRule="auto"/>
              <w:jc w:val="center"/>
            </w:pPr>
            <w:r>
              <w:rPr>
                <w:rFonts w:ascii="Calibri" w:hAnsi="Calibri"/>
                <w:color w:val="1E293B"/>
                <w:sz w:val="17"/>
              </w:rPr>
              <w:t>479.454</w:t>
            </w:r>
          </w:p>
        </w:tc>
      </w:tr>
      <w:tr>
        <w:tc>
          <w:tcPr>
            <w:tcW w:type="dxa" w:w="3600"/>
            <w:shd w:fill="EDF2F7"/>
            <w:tcMar>
              <w:top w:w="50" w:type="dxa"/>
              <w:bottom w:w="50" w:type="dxa"/>
              <w:left w:w="60" w:type="dxa"/>
              <w:right w:w="60" w:type="dxa"/>
            </w:tcMar>
          </w:tcPr>
          <w:p>
            <w:pPr>
              <w:spacing w:before="0" w:after="0" w:line="276" w:lineRule="auto"/>
              <w:jc w:val="left"/>
            </w:pPr>
            <w:r>
              <w:rPr>
                <w:rFonts w:ascii="Calibri" w:hAnsi="Calibri"/>
                <w:b/>
                <w:color w:val="1E293B"/>
                <w:sz w:val="17"/>
              </w:rPr>
              <w:t>Treino (Pós-balanceamento RUS 1:1)</w:t>
            </w:r>
          </w:p>
        </w:tc>
        <w:tc>
          <w:tcPr>
            <w:tcW w:type="dxa" w:w="1296"/>
            <w:shd w:fill="EDF2F7"/>
            <w:tcMar>
              <w:top w:w="50" w:type="dxa"/>
              <w:bottom w:w="50" w:type="dxa"/>
              <w:left w:w="60" w:type="dxa"/>
              <w:right w:w="60" w:type="dxa"/>
            </w:tcMar>
          </w:tcPr>
          <w:p>
            <w:pPr>
              <w:spacing w:before="0" w:after="0" w:line="276" w:lineRule="auto"/>
              <w:jc w:val="center"/>
            </w:pPr>
            <w:r>
              <w:rPr>
                <w:rFonts w:ascii="Calibri" w:hAnsi="Calibri"/>
                <w:b/>
                <w:color w:val="1E293B"/>
                <w:sz w:val="17"/>
              </w:rPr>
              <w:t>24.435</w:t>
            </w:r>
          </w:p>
        </w:tc>
        <w:tc>
          <w:tcPr>
            <w:tcW w:type="dxa" w:w="1152"/>
            <w:shd w:fill="EDF2F7"/>
            <w:tcMar>
              <w:top w:w="50" w:type="dxa"/>
              <w:bottom w:w="50" w:type="dxa"/>
              <w:left w:w="60" w:type="dxa"/>
              <w:right w:w="60" w:type="dxa"/>
            </w:tcMar>
          </w:tcPr>
          <w:p>
            <w:pPr>
              <w:spacing w:before="0" w:after="0" w:line="276" w:lineRule="auto"/>
              <w:jc w:val="center"/>
            </w:pPr>
            <w:r>
              <w:rPr>
                <w:rFonts w:ascii="Calibri" w:hAnsi="Calibri"/>
                <w:b/>
                <w:color w:val="1E293B"/>
                <w:sz w:val="17"/>
              </w:rPr>
              <w:t>50,00%</w:t>
            </w:r>
          </w:p>
        </w:tc>
        <w:tc>
          <w:tcPr>
            <w:tcW w:type="dxa" w:w="1584"/>
            <w:shd w:fill="EDF2F7"/>
            <w:tcMar>
              <w:top w:w="50" w:type="dxa"/>
              <w:bottom w:w="50" w:type="dxa"/>
              <w:left w:w="60" w:type="dxa"/>
              <w:right w:w="60" w:type="dxa"/>
            </w:tcMar>
          </w:tcPr>
          <w:p>
            <w:pPr>
              <w:spacing w:before="0" w:after="0" w:line="276" w:lineRule="auto"/>
              <w:jc w:val="center"/>
            </w:pPr>
            <w:r>
              <w:rPr>
                <w:rFonts w:ascii="Calibri" w:hAnsi="Calibri"/>
                <w:b/>
                <w:color w:val="1E293B"/>
                <w:sz w:val="17"/>
              </w:rPr>
              <w:t>24.435</w:t>
            </w:r>
          </w:p>
        </w:tc>
        <w:tc>
          <w:tcPr>
            <w:tcW w:type="dxa" w:w="1440"/>
            <w:shd w:fill="EDF2F7"/>
            <w:tcMar>
              <w:top w:w="50" w:type="dxa"/>
              <w:bottom w:w="50" w:type="dxa"/>
              <w:left w:w="60" w:type="dxa"/>
              <w:right w:w="60" w:type="dxa"/>
            </w:tcMar>
          </w:tcPr>
          <w:p>
            <w:pPr>
              <w:spacing w:before="0" w:after="0" w:line="276" w:lineRule="auto"/>
              <w:jc w:val="center"/>
            </w:pPr>
            <w:r>
              <w:rPr>
                <w:rFonts w:ascii="Calibri" w:hAnsi="Calibri"/>
                <w:b/>
                <w:color w:val="1E293B"/>
                <w:sz w:val="17"/>
              </w:rPr>
              <w:t>50,00%</w:t>
            </w:r>
          </w:p>
        </w:tc>
        <w:tc>
          <w:tcPr>
            <w:tcW w:type="dxa" w:w="1296"/>
            <w:shd w:fill="EDF2F7"/>
            <w:tcMar>
              <w:top w:w="50" w:type="dxa"/>
              <w:bottom w:w="50" w:type="dxa"/>
              <w:left w:w="60" w:type="dxa"/>
              <w:right w:w="60" w:type="dxa"/>
            </w:tcMar>
          </w:tcPr>
          <w:p>
            <w:pPr>
              <w:spacing w:before="0" w:after="0" w:line="276" w:lineRule="auto"/>
              <w:jc w:val="center"/>
            </w:pPr>
            <w:r>
              <w:rPr>
                <w:rFonts w:ascii="Calibri" w:hAnsi="Calibri"/>
                <w:b/>
                <w:color w:val="1E293B"/>
                <w:sz w:val="17"/>
              </w:rPr>
              <w:t>48.870</w:t>
            </w:r>
          </w:p>
        </w:tc>
      </w:tr>
      <w:tr>
        <w:tc>
          <w:tcPr>
            <w:tcW w:type="dxa" w:w="3600"/>
            <w:shd w:fill="FFFFFF"/>
            <w:tcMar>
              <w:top w:w="50" w:type="dxa"/>
              <w:bottom w:w="50" w:type="dxa"/>
              <w:left w:w="60" w:type="dxa"/>
              <w:right w:w="60" w:type="dxa"/>
            </w:tcMar>
          </w:tcPr>
          <w:p>
            <w:pPr>
              <w:spacing w:before="0" w:after="0" w:line="276" w:lineRule="auto"/>
              <w:jc w:val="left"/>
            </w:pPr>
            <w:r>
              <w:rPr>
                <w:rFonts w:ascii="Calibri" w:hAnsi="Calibri"/>
                <w:b/>
                <w:color w:val="1E293B"/>
                <w:sz w:val="17"/>
              </w:rPr>
              <w:t>Teste (Isolado)</w:t>
            </w:r>
          </w:p>
        </w:tc>
        <w:tc>
          <w:tcPr>
            <w:tcW w:type="dxa" w:w="1296"/>
            <w:shd w:fill="FFFFFF"/>
            <w:tcMar>
              <w:top w:w="50" w:type="dxa"/>
              <w:bottom w:w="50" w:type="dxa"/>
              <w:left w:w="60" w:type="dxa"/>
              <w:right w:w="60" w:type="dxa"/>
            </w:tcMar>
          </w:tcPr>
          <w:p>
            <w:pPr>
              <w:spacing w:before="0" w:after="0" w:line="276" w:lineRule="auto"/>
              <w:jc w:val="center"/>
            </w:pPr>
            <w:r>
              <w:rPr>
                <w:rFonts w:ascii="Calibri" w:hAnsi="Calibri"/>
                <w:color w:val="1E293B"/>
                <w:sz w:val="17"/>
              </w:rPr>
              <w:t>113.755</w:t>
            </w:r>
          </w:p>
        </w:tc>
        <w:tc>
          <w:tcPr>
            <w:tcW w:type="dxa" w:w="1152"/>
            <w:shd w:fill="FFFFFF"/>
            <w:tcMar>
              <w:top w:w="50" w:type="dxa"/>
              <w:bottom w:w="50" w:type="dxa"/>
              <w:left w:w="60" w:type="dxa"/>
              <w:right w:w="60" w:type="dxa"/>
            </w:tcMar>
          </w:tcPr>
          <w:p>
            <w:pPr>
              <w:spacing w:before="0" w:after="0" w:line="276" w:lineRule="auto"/>
              <w:jc w:val="center"/>
            </w:pPr>
            <w:r>
              <w:rPr>
                <w:rFonts w:ascii="Calibri" w:hAnsi="Calibri"/>
                <w:color w:val="1E293B"/>
                <w:sz w:val="17"/>
              </w:rPr>
              <w:t>94,90%</w:t>
            </w:r>
          </w:p>
        </w:tc>
        <w:tc>
          <w:tcPr>
            <w:tcW w:type="dxa" w:w="1584"/>
            <w:shd w:fill="FFFFFF"/>
            <w:tcMar>
              <w:top w:w="50" w:type="dxa"/>
              <w:bottom w:w="50" w:type="dxa"/>
              <w:left w:w="60" w:type="dxa"/>
              <w:right w:w="60" w:type="dxa"/>
            </w:tcMar>
          </w:tcPr>
          <w:p>
            <w:pPr>
              <w:spacing w:before="0" w:after="0" w:line="276" w:lineRule="auto"/>
              <w:jc w:val="center"/>
            </w:pPr>
            <w:r>
              <w:rPr>
                <w:rFonts w:ascii="Calibri" w:hAnsi="Calibri"/>
                <w:color w:val="1E293B"/>
                <w:sz w:val="17"/>
              </w:rPr>
              <w:t>6.109</w:t>
            </w:r>
          </w:p>
        </w:tc>
        <w:tc>
          <w:tcPr>
            <w:tcW w:type="dxa" w:w="1440"/>
            <w:shd w:fill="FFFFFF"/>
            <w:tcMar>
              <w:top w:w="50" w:type="dxa"/>
              <w:bottom w:w="50" w:type="dxa"/>
              <w:left w:w="60" w:type="dxa"/>
              <w:right w:w="60" w:type="dxa"/>
            </w:tcMar>
          </w:tcPr>
          <w:p>
            <w:pPr>
              <w:spacing w:before="0" w:after="0" w:line="276" w:lineRule="auto"/>
              <w:jc w:val="center"/>
            </w:pPr>
            <w:r>
              <w:rPr>
                <w:rFonts w:ascii="Calibri" w:hAnsi="Calibri"/>
                <w:color w:val="1E293B"/>
                <w:sz w:val="17"/>
              </w:rPr>
              <w:t>5,10%</w:t>
            </w:r>
          </w:p>
        </w:tc>
        <w:tc>
          <w:tcPr>
            <w:tcW w:type="dxa" w:w="1296"/>
            <w:shd w:fill="FFFFFF"/>
            <w:tcMar>
              <w:top w:w="50" w:type="dxa"/>
              <w:bottom w:w="50" w:type="dxa"/>
              <w:left w:w="60" w:type="dxa"/>
              <w:right w:w="60" w:type="dxa"/>
            </w:tcMar>
          </w:tcPr>
          <w:p>
            <w:pPr>
              <w:spacing w:before="0" w:after="0" w:line="276" w:lineRule="auto"/>
              <w:jc w:val="center"/>
            </w:pPr>
            <w:r>
              <w:rPr>
                <w:rFonts w:ascii="Calibri" w:hAnsi="Calibri"/>
                <w:color w:val="1E293B"/>
                <w:sz w:val="17"/>
              </w:rPr>
              <w:t>119.864</w:t>
            </w:r>
          </w:p>
        </w:tc>
      </w:tr>
    </w:tbl>
    <w:p>
      <w:pPr>
        <w:pStyle w:val="Heading1"/>
        <w:keepNext/>
        <w:spacing w:before="320" w:after="120"/>
      </w:pPr>
      <w:r>
        <w:rPr>
          <w:rFonts w:ascii="Calibri" w:hAnsi="Calibri"/>
          <w:b/>
          <w:color w:val="1B365D"/>
          <w:sz w:val="28"/>
        </w:rPr>
        <w:t>6. Análise Gráfica do Desfecho Pré-Balanceamento</w:t>
      </w:r>
    </w:p>
    <w:p>
      <w:pPr>
        <w:spacing w:before="0" w:after="120" w:line="276" w:lineRule="auto"/>
        <w:jc w:val="both"/>
      </w:pPr>
      <w:r>
        <w:t xml:space="preserve">O atributo </w:t>
      </w:r>
      <w:r>
        <w:rPr>
          <w:b/>
        </w:rPr>
        <w:t>FAIXA_ETARIA</w:t>
      </w:r>
      <w:r>
        <w:t xml:space="preserve"> foi eleito para a representação visual da letalidade por representar a variável clínica mais expressiva do estudo (V = 0,1339, qui-quadrado = 8.594,40, primeiro lugar geral no ranking dos 26 preditores candidatos).</w:t>
      </w:r>
    </w:p>
    <w:p>
      <w:pPr>
        <w:spacing w:before="0" w:after="120" w:line="276" w:lineRule="auto"/>
        <w:jc w:val="both"/>
      </w:pPr>
      <w:r>
        <w:t xml:space="preserve">O cálculo foi realizado estritamente sobre o conjunto de </w:t>
      </w:r>
      <w:r>
        <w:rPr>
          <w:b/>
        </w:rPr>
        <w:t>treino pré-balanceamento (N = 479.454)</w:t>
      </w:r>
      <w:r>
        <w:t>, garantindo que as taxas de mortalidade reflitam a realidade epidemiológica não manipulada e cumprindo a determinação da Atividade 4 de evitar contaminação do teste:</w:t>
      </w:r>
    </w:p>
    <w:p>
      <w:pPr>
        <w:keepNext/>
        <w:spacing w:before="160" w:after="80" w:line="276" w:lineRule="auto"/>
        <w:jc w:val="center"/>
      </w:pPr>
    </w:p>
    <w:p>
      <w:pPr>
        <w:jc w:val="center"/>
      </w:pPr>
      <w:r>
        <w:drawing>
          <wp:inline xmlns:a="http://schemas.openxmlformats.org/drawingml/2006/main" xmlns:pic="http://schemas.openxmlformats.org/drawingml/2006/picture">
            <wp:extent cx="5120640" cy="3051695"/>
            <wp:docPr id="1" name="Picture 1"/>
            <wp:cNvGraphicFramePr>
              <a:graphicFrameLocks noChangeAspect="1"/>
            </wp:cNvGraphicFramePr>
            <a:graphic>
              <a:graphicData uri="http://schemas.openxmlformats.org/drawingml/2006/picture">
                <pic:pic>
                  <pic:nvPicPr>
                    <pic:cNvPr id="0" name="grafico_desfecho_faixa_etaria.png"/>
                    <pic:cNvPicPr/>
                  </pic:nvPicPr>
                  <pic:blipFill>
                    <a:blip r:embed="rId11"/>
                    <a:stretch>
                      <a:fillRect/>
                    </a:stretch>
                  </pic:blipFill>
                  <pic:spPr>
                    <a:xfrm>
                      <a:off x="0" y="0"/>
                      <a:ext cx="5120640" cy="3051695"/>
                    </a:xfrm>
                    <a:prstGeom prst="rect"/>
                  </pic:spPr>
                </pic:pic>
              </a:graphicData>
            </a:graphic>
          </wp:inline>
        </w:drawing>
      </w:r>
    </w:p>
    <w:p>
      <w:pPr>
        <w:spacing w:before="40" w:after="160" w:line="276" w:lineRule="auto"/>
        <w:jc w:val="center"/>
      </w:pPr>
      <w:r>
        <w:rPr>
          <w:rFonts w:ascii="Calibri" w:hAnsi="Calibri"/>
          <w:i/>
          <w:color w:val="4A5568"/>
          <w:sz w:val="18"/>
        </w:rPr>
        <w:t>Figura 1 — Taxa de Letalidade por Tuberculose Pulmonar segundo Faixa Etária Oficial no Treino Pré-Balanceamento (N = 479.454)</w:t>
      </w:r>
    </w:p>
    <w:p>
      <w:pPr>
        <w:pStyle w:val="Heading2"/>
        <w:keepNext/>
        <w:spacing w:before="240" w:after="80"/>
      </w:pPr>
      <w:r>
        <w:rPr>
          <w:rFonts w:ascii="Calibri" w:hAnsi="Calibri"/>
          <w:b/>
          <w:color w:val="2B547E"/>
          <w:sz w:val="24"/>
        </w:rPr>
        <w:t>6.1 Síntese Quantitativa da Letalidade por Faixa Etária no Treino</w:t>
      </w:r>
    </w:p>
    <w:p>
      <w:pPr>
        <w:spacing w:before="120" w:after="60" w:line="276" w:lineRule="auto"/>
        <w:jc w:val="left"/>
      </w:pPr>
      <w:r>
        <w:rPr>
          <w:rFonts w:ascii="Calibri" w:hAnsi="Calibri"/>
          <w:b/>
          <w:color w:val="1B365D"/>
          <w:sz w:val="19"/>
        </w:rPr>
        <w:t>Tabela 4 — Letalidade e Casos de Tuberculose por Faixa Etária no Treino Pré-Balanceamento (N = 479.454)</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1881"/>
        <w:gridCol w:w="1881"/>
        <w:gridCol w:w="1881"/>
        <w:gridCol w:w="1881"/>
        <w:gridCol w:w="1881"/>
      </w:tblGrid>
      <w:tr>
        <w:tc>
          <w:tcPr>
            <w:tcW w:type="dxa" w:w="3168"/>
            <w:shd w:fill="1B365D"/>
            <w:tcMar>
              <w:top w:w="60" w:type="dxa"/>
              <w:bottom w:w="60" w:type="dxa"/>
              <w:left w:w="60" w:type="dxa"/>
              <w:right w:w="60" w:type="dxa"/>
            </w:tcMar>
          </w:tcPr>
          <w:p>
            <w:pPr>
              <w:spacing w:before="0" w:after="0" w:line="276" w:lineRule="auto"/>
              <w:jc w:val="center"/>
            </w:pPr>
            <w:r>
              <w:rPr>
                <w:rFonts w:ascii="Calibri" w:hAnsi="Calibri"/>
                <w:b/>
                <w:color w:val="FFFFFF"/>
                <w:sz w:val="17"/>
              </w:rPr>
              <w:t>Faixa Etária Oficial</w:t>
            </w:r>
          </w:p>
        </w:tc>
        <w:tc>
          <w:tcPr>
            <w:tcW w:type="dxa" w:w="1584"/>
            <w:shd w:fill="1B365D"/>
            <w:tcMar>
              <w:top w:w="60" w:type="dxa"/>
              <w:bottom w:w="60" w:type="dxa"/>
              <w:left w:w="60" w:type="dxa"/>
              <w:right w:w="60" w:type="dxa"/>
            </w:tcMar>
          </w:tcPr>
          <w:p>
            <w:pPr>
              <w:spacing w:before="0" w:after="0" w:line="276" w:lineRule="auto"/>
              <w:jc w:val="center"/>
            </w:pPr>
            <w:r>
              <w:rPr>
                <w:rFonts w:ascii="Calibri" w:hAnsi="Calibri"/>
                <w:b/>
                <w:color w:val="FFFFFF"/>
                <w:sz w:val="17"/>
              </w:rPr>
              <w:t>Casos Totais (N)</w:t>
            </w:r>
          </w:p>
        </w:tc>
        <w:tc>
          <w:tcPr>
            <w:tcW w:type="dxa" w:w="1584"/>
            <w:shd w:fill="1B365D"/>
            <w:tcMar>
              <w:top w:w="60" w:type="dxa"/>
              <w:bottom w:w="60" w:type="dxa"/>
              <w:left w:w="60" w:type="dxa"/>
              <w:right w:w="60" w:type="dxa"/>
            </w:tcMar>
          </w:tcPr>
          <w:p>
            <w:pPr>
              <w:spacing w:before="0" w:after="0" w:line="276" w:lineRule="auto"/>
              <w:jc w:val="center"/>
            </w:pPr>
            <w:r>
              <w:rPr>
                <w:rFonts w:ascii="Calibri" w:hAnsi="Calibri"/>
                <w:b/>
                <w:color w:val="FFFFFF"/>
                <w:sz w:val="17"/>
              </w:rPr>
              <w:t>Óbitos por TB (N)</w:t>
            </w:r>
          </w:p>
        </w:tc>
        <w:tc>
          <w:tcPr>
            <w:tcW w:type="dxa" w:w="1872"/>
            <w:shd w:fill="1B365D"/>
            <w:tcMar>
              <w:top w:w="60" w:type="dxa"/>
              <w:bottom w:w="60" w:type="dxa"/>
              <w:left w:w="60" w:type="dxa"/>
              <w:right w:w="60" w:type="dxa"/>
            </w:tcMar>
          </w:tcPr>
          <w:p>
            <w:pPr>
              <w:spacing w:before="0" w:after="0" w:line="276" w:lineRule="auto"/>
              <w:jc w:val="center"/>
            </w:pPr>
            <w:r>
              <w:rPr>
                <w:rFonts w:ascii="Calibri" w:hAnsi="Calibri"/>
                <w:b/>
                <w:color w:val="FFFFFF"/>
                <w:sz w:val="17"/>
              </w:rPr>
              <w:t>Taxa de Letalidade (%)</w:t>
            </w:r>
          </w:p>
        </w:tc>
        <w:tc>
          <w:tcPr>
            <w:tcW w:type="dxa" w:w="2160"/>
            <w:shd w:fill="1B365D"/>
            <w:tcMar>
              <w:top w:w="60" w:type="dxa"/>
              <w:bottom w:w="60" w:type="dxa"/>
              <w:left w:w="60" w:type="dxa"/>
              <w:right w:w="60" w:type="dxa"/>
            </w:tcMar>
          </w:tcPr>
          <w:p>
            <w:pPr>
              <w:spacing w:before="0" w:after="0" w:line="276" w:lineRule="auto"/>
              <w:jc w:val="center"/>
            </w:pPr>
            <w:r>
              <w:rPr>
                <w:rFonts w:ascii="Calibri" w:hAnsi="Calibri"/>
                <w:b/>
                <w:color w:val="FFFFFF"/>
                <w:sz w:val="17"/>
              </w:rPr>
              <w:t>Razão em Relação a Jovens</w:t>
            </w:r>
          </w:p>
        </w:tc>
      </w:tr>
      <w:tr>
        <w:tc>
          <w:tcPr>
            <w:tcW w:type="dxa" w:w="3168"/>
            <w:shd w:fill="FFFFFF"/>
            <w:tcMar>
              <w:top w:w="50" w:type="dxa"/>
              <w:bottom w:w="50" w:type="dxa"/>
              <w:left w:w="60" w:type="dxa"/>
              <w:right w:w="60" w:type="dxa"/>
            </w:tcMar>
          </w:tcPr>
          <w:p>
            <w:pPr>
              <w:spacing w:before="0" w:after="0" w:line="276" w:lineRule="auto"/>
              <w:jc w:val="left"/>
            </w:pPr>
            <w:r>
              <w:rPr>
                <w:rFonts w:ascii="Calibri" w:hAnsi="Calibri"/>
                <w:b/>
                <w:color w:val="1E293B"/>
                <w:sz w:val="17"/>
              </w:rPr>
              <w:t>Jovens (0 a 19 anos)</w:t>
            </w:r>
          </w:p>
        </w:tc>
        <w:tc>
          <w:tcPr>
            <w:tcW w:type="dxa" w:w="1584"/>
            <w:shd w:fill="FFFFFF"/>
            <w:tcMar>
              <w:top w:w="50" w:type="dxa"/>
              <w:bottom w:w="50" w:type="dxa"/>
              <w:left w:w="60" w:type="dxa"/>
              <w:right w:w="60" w:type="dxa"/>
            </w:tcMar>
          </w:tcPr>
          <w:p>
            <w:pPr>
              <w:spacing w:before="0" w:after="0" w:line="276" w:lineRule="auto"/>
              <w:jc w:val="center"/>
            </w:pPr>
            <w:r>
              <w:rPr>
                <w:rFonts w:ascii="Calibri" w:hAnsi="Calibri"/>
                <w:color w:val="1E293B"/>
                <w:sz w:val="17"/>
              </w:rPr>
              <w:t>39.470</w:t>
            </w:r>
          </w:p>
        </w:tc>
        <w:tc>
          <w:tcPr>
            <w:tcW w:type="dxa" w:w="1584"/>
            <w:shd w:fill="FFFFFF"/>
            <w:tcMar>
              <w:top w:w="50" w:type="dxa"/>
              <w:bottom w:w="50" w:type="dxa"/>
              <w:left w:w="60" w:type="dxa"/>
              <w:right w:w="60" w:type="dxa"/>
            </w:tcMar>
          </w:tcPr>
          <w:p>
            <w:pPr>
              <w:spacing w:before="0" w:after="0" w:line="276" w:lineRule="auto"/>
              <w:jc w:val="center"/>
            </w:pPr>
            <w:r>
              <w:rPr>
                <w:rFonts w:ascii="Calibri" w:hAnsi="Calibri"/>
                <w:color w:val="1E293B"/>
                <w:sz w:val="17"/>
              </w:rPr>
              <w:t>506</w:t>
            </w:r>
          </w:p>
        </w:tc>
        <w:tc>
          <w:tcPr>
            <w:tcW w:type="dxa" w:w="1872"/>
            <w:shd w:fill="FFFFFF"/>
            <w:tcMar>
              <w:top w:w="50" w:type="dxa"/>
              <w:bottom w:w="50" w:type="dxa"/>
              <w:left w:w="60" w:type="dxa"/>
              <w:right w:w="60" w:type="dxa"/>
            </w:tcMar>
          </w:tcPr>
          <w:p>
            <w:pPr>
              <w:spacing w:before="0" w:after="0" w:line="276" w:lineRule="auto"/>
              <w:jc w:val="center"/>
            </w:pPr>
            <w:r>
              <w:rPr>
                <w:rFonts w:ascii="Calibri" w:hAnsi="Calibri"/>
                <w:color w:val="1E293B"/>
                <w:sz w:val="17"/>
              </w:rPr>
              <w:t>1,28%</w:t>
            </w:r>
          </w:p>
        </w:tc>
        <w:tc>
          <w:tcPr>
            <w:tcW w:type="dxa" w:w="2160"/>
            <w:shd w:fill="FFFFFF"/>
            <w:tcMar>
              <w:top w:w="50" w:type="dxa"/>
              <w:bottom w:w="50" w:type="dxa"/>
              <w:left w:w="60" w:type="dxa"/>
              <w:right w:w="60" w:type="dxa"/>
            </w:tcMar>
          </w:tcPr>
          <w:p>
            <w:pPr>
              <w:spacing w:before="0" w:after="0" w:line="276" w:lineRule="auto"/>
              <w:jc w:val="center"/>
            </w:pPr>
            <w:r>
              <w:rPr>
                <w:rFonts w:ascii="Calibri" w:hAnsi="Calibri"/>
                <w:color w:val="1E293B"/>
                <w:sz w:val="17"/>
              </w:rPr>
              <w:t>1,00x (Referência)</w:t>
            </w:r>
          </w:p>
        </w:tc>
      </w:tr>
      <w:tr>
        <w:tc>
          <w:tcPr>
            <w:tcW w:type="dxa" w:w="3168"/>
            <w:shd w:fill="FFFFFF"/>
            <w:tcMar>
              <w:top w:w="50" w:type="dxa"/>
              <w:bottom w:w="50" w:type="dxa"/>
              <w:left w:w="60" w:type="dxa"/>
              <w:right w:w="60" w:type="dxa"/>
            </w:tcMar>
          </w:tcPr>
          <w:p>
            <w:pPr>
              <w:spacing w:before="0" w:after="0" w:line="276" w:lineRule="auto"/>
              <w:jc w:val="left"/>
            </w:pPr>
            <w:r>
              <w:rPr>
                <w:rFonts w:ascii="Calibri" w:hAnsi="Calibri"/>
                <w:b/>
                <w:color w:val="1E293B"/>
                <w:sz w:val="17"/>
              </w:rPr>
              <w:t>Adultos (20 a 59 anos)</w:t>
            </w:r>
          </w:p>
        </w:tc>
        <w:tc>
          <w:tcPr>
            <w:tcW w:type="dxa" w:w="1584"/>
            <w:shd w:fill="FFFFFF"/>
            <w:tcMar>
              <w:top w:w="50" w:type="dxa"/>
              <w:bottom w:w="50" w:type="dxa"/>
              <w:left w:w="60" w:type="dxa"/>
              <w:right w:w="60" w:type="dxa"/>
            </w:tcMar>
          </w:tcPr>
          <w:p>
            <w:pPr>
              <w:spacing w:before="0" w:after="0" w:line="276" w:lineRule="auto"/>
              <w:jc w:val="center"/>
            </w:pPr>
            <w:r>
              <w:rPr>
                <w:rFonts w:ascii="Calibri" w:hAnsi="Calibri"/>
                <w:color w:val="1E293B"/>
                <w:sz w:val="17"/>
              </w:rPr>
              <w:t>364.792</w:t>
            </w:r>
          </w:p>
        </w:tc>
        <w:tc>
          <w:tcPr>
            <w:tcW w:type="dxa" w:w="1584"/>
            <w:shd w:fill="FFFFFF"/>
            <w:tcMar>
              <w:top w:w="50" w:type="dxa"/>
              <w:bottom w:w="50" w:type="dxa"/>
              <w:left w:w="60" w:type="dxa"/>
              <w:right w:w="60" w:type="dxa"/>
            </w:tcMar>
          </w:tcPr>
          <w:p>
            <w:pPr>
              <w:spacing w:before="0" w:after="0" w:line="276" w:lineRule="auto"/>
              <w:jc w:val="center"/>
            </w:pPr>
            <w:r>
              <w:rPr>
                <w:rFonts w:ascii="Calibri" w:hAnsi="Calibri"/>
                <w:color w:val="1E293B"/>
                <w:sz w:val="17"/>
              </w:rPr>
              <w:t>14.834</w:t>
            </w:r>
          </w:p>
        </w:tc>
        <w:tc>
          <w:tcPr>
            <w:tcW w:type="dxa" w:w="1872"/>
            <w:shd w:fill="FFFFFF"/>
            <w:tcMar>
              <w:top w:w="50" w:type="dxa"/>
              <w:bottom w:w="50" w:type="dxa"/>
              <w:left w:w="60" w:type="dxa"/>
              <w:right w:w="60" w:type="dxa"/>
            </w:tcMar>
          </w:tcPr>
          <w:p>
            <w:pPr>
              <w:spacing w:before="0" w:after="0" w:line="276" w:lineRule="auto"/>
              <w:jc w:val="center"/>
            </w:pPr>
            <w:r>
              <w:rPr>
                <w:rFonts w:ascii="Calibri" w:hAnsi="Calibri"/>
                <w:color w:val="1E293B"/>
                <w:sz w:val="17"/>
              </w:rPr>
              <w:t>4,07%</w:t>
            </w:r>
          </w:p>
        </w:tc>
        <w:tc>
          <w:tcPr>
            <w:tcW w:type="dxa" w:w="2160"/>
            <w:shd w:fill="FFFFFF"/>
            <w:tcMar>
              <w:top w:w="50" w:type="dxa"/>
              <w:bottom w:w="50" w:type="dxa"/>
              <w:left w:w="60" w:type="dxa"/>
              <w:right w:w="60" w:type="dxa"/>
            </w:tcMar>
          </w:tcPr>
          <w:p>
            <w:pPr>
              <w:spacing w:before="0" w:after="0" w:line="276" w:lineRule="auto"/>
              <w:jc w:val="center"/>
            </w:pPr>
            <w:r>
              <w:rPr>
                <w:rFonts w:ascii="Calibri" w:hAnsi="Calibri"/>
                <w:color w:val="1E293B"/>
                <w:sz w:val="17"/>
              </w:rPr>
              <w:t>3,18x</w:t>
            </w:r>
          </w:p>
        </w:tc>
      </w:tr>
      <w:tr>
        <w:tc>
          <w:tcPr>
            <w:tcW w:type="dxa" w:w="3168"/>
            <w:shd w:fill="EDF2F7"/>
            <w:tcMar>
              <w:top w:w="50" w:type="dxa"/>
              <w:bottom w:w="50" w:type="dxa"/>
              <w:left w:w="60" w:type="dxa"/>
              <w:right w:w="60" w:type="dxa"/>
            </w:tcMar>
          </w:tcPr>
          <w:p>
            <w:pPr>
              <w:spacing w:before="0" w:after="0" w:line="276" w:lineRule="auto"/>
              <w:jc w:val="left"/>
            </w:pPr>
            <w:r>
              <w:rPr>
                <w:rFonts w:ascii="Calibri" w:hAnsi="Calibri"/>
                <w:b/>
                <w:color w:val="1E293B"/>
                <w:sz w:val="17"/>
              </w:rPr>
              <w:t>Idosos (60 anos ou mais)</w:t>
            </w:r>
          </w:p>
        </w:tc>
        <w:tc>
          <w:tcPr>
            <w:tcW w:type="dxa" w:w="1584"/>
            <w:shd w:fill="EDF2F7"/>
            <w:tcMar>
              <w:top w:w="50" w:type="dxa"/>
              <w:bottom w:w="50" w:type="dxa"/>
              <w:left w:w="60" w:type="dxa"/>
              <w:right w:w="60" w:type="dxa"/>
            </w:tcMar>
          </w:tcPr>
          <w:p>
            <w:pPr>
              <w:spacing w:before="0" w:after="0" w:line="276" w:lineRule="auto"/>
              <w:jc w:val="center"/>
            </w:pPr>
            <w:r>
              <w:rPr>
                <w:rFonts w:ascii="Calibri" w:hAnsi="Calibri"/>
                <w:b/>
                <w:color w:val="1E293B"/>
                <w:sz w:val="17"/>
              </w:rPr>
              <w:t>75.048</w:t>
            </w:r>
          </w:p>
        </w:tc>
        <w:tc>
          <w:tcPr>
            <w:tcW w:type="dxa" w:w="1584"/>
            <w:shd w:fill="EDF2F7"/>
            <w:tcMar>
              <w:top w:w="50" w:type="dxa"/>
              <w:bottom w:w="50" w:type="dxa"/>
              <w:left w:w="60" w:type="dxa"/>
              <w:right w:w="60" w:type="dxa"/>
            </w:tcMar>
          </w:tcPr>
          <w:p>
            <w:pPr>
              <w:spacing w:before="0" w:after="0" w:line="276" w:lineRule="auto"/>
              <w:jc w:val="center"/>
            </w:pPr>
            <w:r>
              <w:rPr>
                <w:rFonts w:ascii="Calibri" w:hAnsi="Calibri"/>
                <w:b/>
                <w:color w:val="1E293B"/>
                <w:sz w:val="17"/>
              </w:rPr>
              <w:t>9.089</w:t>
            </w:r>
          </w:p>
        </w:tc>
        <w:tc>
          <w:tcPr>
            <w:tcW w:type="dxa" w:w="1872"/>
            <w:shd w:fill="EDF2F7"/>
            <w:tcMar>
              <w:top w:w="50" w:type="dxa"/>
              <w:bottom w:w="50" w:type="dxa"/>
              <w:left w:w="60" w:type="dxa"/>
              <w:right w:w="60" w:type="dxa"/>
            </w:tcMar>
          </w:tcPr>
          <w:p>
            <w:pPr>
              <w:spacing w:before="0" w:after="0" w:line="276" w:lineRule="auto"/>
              <w:jc w:val="center"/>
            </w:pPr>
            <w:r>
              <w:rPr>
                <w:rFonts w:ascii="Calibri" w:hAnsi="Calibri"/>
                <w:b/>
                <w:color w:val="1E293B"/>
                <w:sz w:val="17"/>
              </w:rPr>
              <w:t>12,11%</w:t>
            </w:r>
          </w:p>
        </w:tc>
        <w:tc>
          <w:tcPr>
            <w:tcW w:type="dxa" w:w="2160"/>
            <w:shd w:fill="EDF2F7"/>
            <w:tcMar>
              <w:top w:w="50" w:type="dxa"/>
              <w:bottom w:w="50" w:type="dxa"/>
              <w:left w:w="60" w:type="dxa"/>
              <w:right w:w="60" w:type="dxa"/>
            </w:tcMar>
          </w:tcPr>
          <w:p>
            <w:pPr>
              <w:spacing w:before="0" w:after="0" w:line="276" w:lineRule="auto"/>
              <w:jc w:val="center"/>
            </w:pPr>
            <w:r>
              <w:rPr>
                <w:rFonts w:ascii="Calibri" w:hAnsi="Calibri"/>
                <w:b/>
                <w:color w:val="1E293B"/>
                <w:sz w:val="17"/>
              </w:rPr>
              <w:t>9,46x</w:t>
            </w:r>
          </w:p>
        </w:tc>
      </w:tr>
      <w:tr>
        <w:tc>
          <w:tcPr>
            <w:tcW w:type="dxa" w:w="3168"/>
            <w:shd w:fill="FFFFFF"/>
            <w:tcMar>
              <w:top w:w="50" w:type="dxa"/>
              <w:bottom w:w="50" w:type="dxa"/>
              <w:left w:w="60" w:type="dxa"/>
              <w:right w:w="60" w:type="dxa"/>
            </w:tcMar>
          </w:tcPr>
          <w:p>
            <w:pPr>
              <w:spacing w:before="0" w:after="0" w:line="276" w:lineRule="auto"/>
              <w:jc w:val="left"/>
            </w:pPr>
            <w:r>
              <w:rPr>
                <w:rFonts w:ascii="Calibri" w:hAnsi="Calibri"/>
                <w:b/>
                <w:color w:val="1E293B"/>
                <w:sz w:val="17"/>
              </w:rPr>
              <w:t>Faltante</w:t>
            </w:r>
          </w:p>
        </w:tc>
        <w:tc>
          <w:tcPr>
            <w:tcW w:type="dxa" w:w="1584"/>
            <w:shd w:fill="FFFFFF"/>
            <w:tcMar>
              <w:top w:w="50" w:type="dxa"/>
              <w:bottom w:w="50" w:type="dxa"/>
              <w:left w:w="60" w:type="dxa"/>
              <w:right w:w="60" w:type="dxa"/>
            </w:tcMar>
          </w:tcPr>
          <w:p>
            <w:pPr>
              <w:spacing w:before="0" w:after="0" w:line="276" w:lineRule="auto"/>
              <w:jc w:val="center"/>
            </w:pPr>
            <w:r>
              <w:rPr>
                <w:rFonts w:ascii="Calibri" w:hAnsi="Calibri"/>
                <w:color w:val="1E293B"/>
                <w:sz w:val="17"/>
              </w:rPr>
              <w:t>144</w:t>
            </w:r>
          </w:p>
        </w:tc>
        <w:tc>
          <w:tcPr>
            <w:tcW w:type="dxa" w:w="1584"/>
            <w:shd w:fill="FFFFFF"/>
            <w:tcMar>
              <w:top w:w="50" w:type="dxa"/>
              <w:bottom w:w="50" w:type="dxa"/>
              <w:left w:w="60" w:type="dxa"/>
              <w:right w:w="60" w:type="dxa"/>
            </w:tcMar>
          </w:tcPr>
          <w:p>
            <w:pPr>
              <w:spacing w:before="0" w:after="0" w:line="276" w:lineRule="auto"/>
              <w:jc w:val="center"/>
            </w:pPr>
            <w:r>
              <w:rPr>
                <w:rFonts w:ascii="Calibri" w:hAnsi="Calibri"/>
                <w:color w:val="1E293B"/>
                <w:sz w:val="17"/>
              </w:rPr>
              <w:t>6</w:t>
            </w:r>
          </w:p>
        </w:tc>
        <w:tc>
          <w:tcPr>
            <w:tcW w:type="dxa" w:w="1872"/>
            <w:shd w:fill="FFFFFF"/>
            <w:tcMar>
              <w:top w:w="50" w:type="dxa"/>
              <w:bottom w:w="50" w:type="dxa"/>
              <w:left w:w="60" w:type="dxa"/>
              <w:right w:w="60" w:type="dxa"/>
            </w:tcMar>
          </w:tcPr>
          <w:p>
            <w:pPr>
              <w:spacing w:before="0" w:after="0" w:line="276" w:lineRule="auto"/>
              <w:jc w:val="center"/>
            </w:pPr>
            <w:r>
              <w:rPr>
                <w:rFonts w:ascii="Calibri" w:hAnsi="Calibri"/>
                <w:color w:val="1E293B"/>
                <w:sz w:val="17"/>
              </w:rPr>
              <w:t>4,17%</w:t>
            </w:r>
          </w:p>
        </w:tc>
        <w:tc>
          <w:tcPr>
            <w:tcW w:type="dxa" w:w="2160"/>
            <w:shd w:fill="FFFFFF"/>
            <w:tcMar>
              <w:top w:w="50" w:type="dxa"/>
              <w:bottom w:w="50" w:type="dxa"/>
              <w:left w:w="60" w:type="dxa"/>
              <w:right w:w="60" w:type="dxa"/>
            </w:tcMar>
          </w:tcPr>
          <w:p>
            <w:pPr>
              <w:spacing w:before="0" w:after="0" w:line="276" w:lineRule="auto"/>
              <w:jc w:val="center"/>
            </w:pPr>
            <w:r>
              <w:rPr>
                <w:rFonts w:ascii="Calibri" w:hAnsi="Calibri"/>
                <w:color w:val="1E293B"/>
                <w:sz w:val="17"/>
              </w:rPr>
              <w:t>3,26x</w:t>
            </w:r>
          </w:p>
        </w:tc>
      </w:tr>
      <w:tr>
        <w:tc>
          <w:tcPr>
            <w:tcW w:type="dxa" w:w="3168"/>
            <w:shd w:fill="EDF2F7"/>
            <w:tcMar>
              <w:top w:w="50" w:type="dxa"/>
              <w:bottom w:w="50" w:type="dxa"/>
              <w:left w:w="60" w:type="dxa"/>
              <w:right w:w="60" w:type="dxa"/>
            </w:tcMar>
          </w:tcPr>
          <w:p>
            <w:pPr>
              <w:spacing w:before="0" w:after="0" w:line="276" w:lineRule="auto"/>
              <w:jc w:val="left"/>
            </w:pPr>
            <w:r>
              <w:rPr>
                <w:rFonts w:ascii="Calibri" w:hAnsi="Calibri"/>
                <w:b/>
                <w:color w:val="1E293B"/>
                <w:sz w:val="17"/>
              </w:rPr>
              <w:t>Média Global do Treino</w:t>
            </w:r>
          </w:p>
        </w:tc>
        <w:tc>
          <w:tcPr>
            <w:tcW w:type="dxa" w:w="1584"/>
            <w:shd w:fill="EDF2F7"/>
            <w:tcMar>
              <w:top w:w="50" w:type="dxa"/>
              <w:bottom w:w="50" w:type="dxa"/>
              <w:left w:w="60" w:type="dxa"/>
              <w:right w:w="60" w:type="dxa"/>
            </w:tcMar>
          </w:tcPr>
          <w:p>
            <w:pPr>
              <w:spacing w:before="0" w:after="0" w:line="276" w:lineRule="auto"/>
              <w:jc w:val="center"/>
            </w:pPr>
            <w:r>
              <w:rPr>
                <w:rFonts w:ascii="Calibri" w:hAnsi="Calibri"/>
                <w:b/>
                <w:color w:val="1E293B"/>
                <w:sz w:val="17"/>
              </w:rPr>
              <w:t>479.454</w:t>
            </w:r>
          </w:p>
        </w:tc>
        <w:tc>
          <w:tcPr>
            <w:tcW w:type="dxa" w:w="1584"/>
            <w:shd w:fill="EDF2F7"/>
            <w:tcMar>
              <w:top w:w="50" w:type="dxa"/>
              <w:bottom w:w="50" w:type="dxa"/>
              <w:left w:w="60" w:type="dxa"/>
              <w:right w:w="60" w:type="dxa"/>
            </w:tcMar>
          </w:tcPr>
          <w:p>
            <w:pPr>
              <w:spacing w:before="0" w:after="0" w:line="276" w:lineRule="auto"/>
              <w:jc w:val="center"/>
            </w:pPr>
            <w:r>
              <w:rPr>
                <w:rFonts w:ascii="Calibri" w:hAnsi="Calibri"/>
                <w:b/>
                <w:color w:val="1E293B"/>
                <w:sz w:val="17"/>
              </w:rPr>
              <w:t>24.435</w:t>
            </w:r>
          </w:p>
        </w:tc>
        <w:tc>
          <w:tcPr>
            <w:tcW w:type="dxa" w:w="1872"/>
            <w:shd w:fill="EDF2F7"/>
            <w:tcMar>
              <w:top w:w="50" w:type="dxa"/>
              <w:bottom w:w="50" w:type="dxa"/>
              <w:left w:w="60" w:type="dxa"/>
              <w:right w:w="60" w:type="dxa"/>
            </w:tcMar>
          </w:tcPr>
          <w:p>
            <w:pPr>
              <w:spacing w:before="0" w:after="0" w:line="276" w:lineRule="auto"/>
              <w:jc w:val="center"/>
            </w:pPr>
            <w:r>
              <w:rPr>
                <w:rFonts w:ascii="Calibri" w:hAnsi="Calibri"/>
                <w:b/>
                <w:color w:val="1E293B"/>
                <w:sz w:val="17"/>
              </w:rPr>
              <w:t>5,10%</w:t>
            </w:r>
          </w:p>
        </w:tc>
        <w:tc>
          <w:tcPr>
            <w:tcW w:type="dxa" w:w="2160"/>
            <w:shd w:fill="EDF2F7"/>
            <w:tcMar>
              <w:top w:w="50" w:type="dxa"/>
              <w:bottom w:w="50" w:type="dxa"/>
              <w:left w:w="60" w:type="dxa"/>
              <w:right w:w="60" w:type="dxa"/>
            </w:tcMar>
          </w:tcPr>
          <w:p>
            <w:pPr>
              <w:spacing w:before="0" w:after="0" w:line="276" w:lineRule="auto"/>
              <w:jc w:val="center"/>
            </w:pPr>
            <w:r>
              <w:rPr>
                <w:rFonts w:ascii="Calibri" w:hAnsi="Calibri"/>
                <w:b/>
                <w:color w:val="1E293B"/>
                <w:sz w:val="17"/>
              </w:rPr>
              <w:t>—</w:t>
            </w:r>
          </w:p>
        </w:tc>
      </w:tr>
    </w:tbl>
    <w:p>
      <w:pPr>
        <w:pStyle w:val="Heading2"/>
        <w:keepNext/>
        <w:spacing w:before="240" w:after="80"/>
      </w:pPr>
      <w:r>
        <w:rPr>
          <w:rFonts w:ascii="Calibri" w:hAnsi="Calibri"/>
          <w:b/>
          <w:color w:val="2B547E"/>
          <w:sz w:val="24"/>
        </w:rPr>
        <w:t>6.2 Interpretação Clínica e Epidemiológica</w:t>
      </w:r>
    </w:p>
    <w:p>
      <w:pPr>
        <w:spacing w:before="0" w:after="120" w:line="276" w:lineRule="auto"/>
        <w:jc w:val="both"/>
      </w:pPr>
      <w:r>
        <w:t xml:space="preserve">1. </w:t>
      </w:r>
      <w:r>
        <w:rPr>
          <w:b/>
        </w:rPr>
        <w:t>Gradiente Biológico Monotônico:</w:t>
      </w:r>
      <w:r>
        <w:t xml:space="preserve"> Observa-se um gradiente estritamente ascendente da mortalidade com a progressão da idade cronológica. Enquanto jovens apresentam letalidade de 1,28%, a taxa triplica entre adultos (4,07%) e atinge </w:t>
      </w:r>
      <w:r>
        <w:rPr>
          <w:b/>
        </w:rPr>
        <w:t>12,11% entre os idosos</w:t>
      </w:r>
      <w:r>
        <w:t>, correspondendo a um risco relativo quase 10 vezes superior (RR ≈ 9,5).</w:t>
        <w:br/>
      </w:r>
      <w:r>
        <w:t xml:space="preserve">2. </w:t>
      </w:r>
      <w:r>
        <w:rPr>
          <w:b/>
        </w:rPr>
        <w:t>Impacto da Imunossenescência:</w:t>
      </w:r>
      <w:r>
        <w:t xml:space="preserve"> A deterioração da imunidade celular inerente ao envelhecimento reduz a capacidade dos macrófagos alveolares e dos linfócitos T CD4+ de conter a replicação do Mycobacterium tuberculosis, propiciando formas extensas de cavitação pulmonar e disseminação hematogênica.</w:t>
        <w:br/>
      </w:r>
      <w:r>
        <w:t xml:space="preserve">3. </w:t>
      </w:r>
      <w:r>
        <w:rPr>
          <w:b/>
        </w:rPr>
        <w:t>Multimorbidade Crônica:</w:t>
      </w:r>
      <w:r>
        <w:t xml:space="preserve"> Em idosos, a tuberculose frequentemente sobrepõe-se a diabetes descompensado, hipertensão arterial sistêmica, insuficiência renal e doença pulmonar obstrutiva crônica (DPOC), potencializando desfechos adversos e toxicidade hepática dos fármacos de primeira linha (RHZE).</w:t>
        <w:br/>
      </w:r>
      <w:r>
        <w:t xml:space="preserve">4. </w:t>
      </w:r>
      <w:r>
        <w:rPr>
          <w:b/>
        </w:rPr>
        <w:t>Implicação para Políticas de Saúde:</w:t>
      </w:r>
      <w:r>
        <w:t xml:space="preserve"> A estratificação formal da idade em faixas consolidadas demonstra empiricamente que pacientes com 60 anos ou mais demandam monitoramento clínico intensivo imediato, consultas com menor intervalo e busca ativa constante de intercorrências terapêuticas na atenção primária.</w:t>
      </w:r>
    </w:p>
    <w:p>
      <w:pPr>
        <w:pStyle w:val="Heading1"/>
        <w:keepNext/>
        <w:spacing w:before="320" w:after="120"/>
      </w:pPr>
      <w:r>
        <w:rPr>
          <w:rFonts w:ascii="Calibri" w:hAnsi="Calibri"/>
          <w:b/>
          <w:color w:val="1B365D"/>
          <w:sz w:val="28"/>
        </w:rPr>
        <w:t>7. Referências Bibliográficas Normativas e Metodológicas</w:t>
      </w:r>
    </w:p>
    <w:p>
      <w:pPr>
        <w:spacing w:before="20" w:after="60" w:line="240" w:lineRule="auto"/>
        <w:ind w:left="432" w:hanging="432"/>
        <w:jc w:val="left"/>
      </w:pPr>
      <w:r>
        <w:rPr>
          <w:rFonts w:ascii="Calibri" w:hAnsi="Calibri"/>
          <w:sz w:val="17"/>
        </w:rPr>
        <w:t xml:space="preserve">1. </w:t>
      </w:r>
      <w:r>
        <w:rPr>
          <w:rFonts w:ascii="Calibri" w:hAnsi="Calibri"/>
          <w:b/>
          <w:sz w:val="17"/>
        </w:rPr>
        <w:t>BRASIL.</w:t>
      </w:r>
      <w:r>
        <w:rPr>
          <w:rFonts w:ascii="Calibri" w:hAnsi="Calibri"/>
          <w:sz w:val="17"/>
        </w:rPr>
        <w:t xml:space="preserve"> Lei nº 8.069, de 13 de julho de 1990. Dispõe sobre o Estatuto da Criança e do Adolescente e dá outras providências. Diário Oficial da União, Brasília, DF, 16 jul. 1990.</w:t>
      </w:r>
    </w:p>
    <w:p>
      <w:pPr>
        <w:spacing w:before="20" w:after="60" w:line="240" w:lineRule="auto"/>
        <w:ind w:left="432" w:hanging="432"/>
        <w:jc w:val="left"/>
      </w:pPr>
      <w:r>
        <w:rPr>
          <w:rFonts w:ascii="Calibri" w:hAnsi="Calibri"/>
          <w:sz w:val="17"/>
        </w:rPr>
        <w:t xml:space="preserve">2. </w:t>
      </w:r>
      <w:r>
        <w:rPr>
          <w:rFonts w:ascii="Calibri" w:hAnsi="Calibri"/>
          <w:b/>
          <w:sz w:val="17"/>
        </w:rPr>
        <w:t>BRASIL.</w:t>
      </w:r>
      <w:r>
        <w:rPr>
          <w:rFonts w:ascii="Calibri" w:hAnsi="Calibri"/>
          <w:sz w:val="17"/>
        </w:rPr>
        <w:t xml:space="preserve"> Lei nº 10.741, de 1º de outubro de 2003. Dispõe sobre o Estatuto da Pessoa Idosa e dá outras providências (redação dada pela Lei nº 14.423, de 22 de julho de 2022). Diário Oficial da União, Brasília, DF, 3 out. 2003.</w:t>
      </w:r>
    </w:p>
    <w:p>
      <w:pPr>
        <w:spacing w:before="20" w:after="60" w:line="240" w:lineRule="auto"/>
        <w:ind w:left="432" w:hanging="432"/>
        <w:jc w:val="left"/>
      </w:pPr>
      <w:r>
        <w:rPr>
          <w:rFonts w:ascii="Calibri" w:hAnsi="Calibri"/>
          <w:sz w:val="17"/>
        </w:rPr>
        <w:t xml:space="preserve">3. </w:t>
      </w:r>
      <w:r>
        <w:rPr>
          <w:rFonts w:ascii="Calibri" w:hAnsi="Calibri"/>
          <w:b/>
          <w:sz w:val="17"/>
        </w:rPr>
        <w:t>BRASIL.</w:t>
      </w:r>
      <w:r>
        <w:rPr>
          <w:rFonts w:ascii="Calibri" w:hAnsi="Calibri"/>
          <w:sz w:val="17"/>
        </w:rPr>
        <w:t xml:space="preserve"> Lei nº 12.852, de 5 de agosto de 2013. Institui o Estatuto da Juventude e dispõe sobre os direitos dos jovens. Diário Oficial da União, Brasília, DF, 6 ago. 2013.</w:t>
      </w:r>
    </w:p>
    <w:p>
      <w:pPr>
        <w:spacing w:before="20" w:after="60" w:line="240" w:lineRule="auto"/>
        <w:ind w:left="432" w:hanging="432"/>
        <w:jc w:val="left"/>
      </w:pPr>
      <w:r>
        <w:rPr>
          <w:rFonts w:ascii="Calibri" w:hAnsi="Calibri"/>
          <w:sz w:val="17"/>
        </w:rPr>
        <w:t xml:space="preserve">4. </w:t>
      </w:r>
      <w:r>
        <w:rPr>
          <w:rFonts w:ascii="Calibri" w:hAnsi="Calibri"/>
          <w:b/>
          <w:sz w:val="17"/>
        </w:rPr>
        <w:t>BRASIL.</w:t>
      </w:r>
      <w:r>
        <w:rPr>
          <w:rFonts w:ascii="Calibri" w:hAnsi="Calibri"/>
          <w:sz w:val="17"/>
        </w:rPr>
        <w:t xml:space="preserve"> Lei nº 8.842, de 4 de janeiro de 1994. Fixa a Política Nacional do Idoso, cria o Conselho Nacional do Idoso e dá outras providências. Diário Oficial da União, Brasília, DF, 5 jan. 1994.</w:t>
      </w:r>
    </w:p>
    <w:p>
      <w:pPr>
        <w:spacing w:before="20" w:after="60" w:line="240" w:lineRule="auto"/>
        <w:ind w:left="432" w:hanging="432"/>
        <w:jc w:val="left"/>
      </w:pPr>
      <w:r>
        <w:rPr>
          <w:rFonts w:ascii="Calibri" w:hAnsi="Calibri"/>
          <w:sz w:val="17"/>
        </w:rPr>
        <w:t xml:space="preserve">5. </w:t>
      </w:r>
      <w:r>
        <w:rPr>
          <w:rFonts w:ascii="Calibri" w:hAnsi="Calibri"/>
          <w:b/>
          <w:sz w:val="17"/>
        </w:rPr>
        <w:t>BRASIL.</w:t>
      </w:r>
      <w:r>
        <w:rPr>
          <w:rFonts w:ascii="Calibri" w:hAnsi="Calibri"/>
          <w:sz w:val="17"/>
        </w:rPr>
        <w:t xml:space="preserve"> Ministério da Saúde. Secretaria de Vigilância em Saúde. Manual de Recomendações para o Controle da Tuberculose no Brasil. 2. ed. Brasília: Ministério da Saúde, 2019.</w:t>
      </w:r>
    </w:p>
    <w:p>
      <w:pPr>
        <w:spacing w:before="20" w:after="60" w:line="240" w:lineRule="auto"/>
        <w:ind w:left="432" w:hanging="432"/>
        <w:jc w:val="left"/>
      </w:pPr>
      <w:r>
        <w:rPr>
          <w:rFonts w:ascii="Calibri" w:hAnsi="Calibri"/>
          <w:sz w:val="17"/>
        </w:rPr>
        <w:t xml:space="preserve">6. </w:t>
      </w:r>
      <w:r>
        <w:rPr>
          <w:rFonts w:ascii="Calibri" w:hAnsi="Calibri"/>
          <w:b/>
          <w:sz w:val="17"/>
        </w:rPr>
        <w:t>IBGE</w:t>
      </w:r>
      <w:r>
        <w:rPr>
          <w:rFonts w:ascii="Calibri" w:hAnsi="Calibri"/>
          <w:sz w:val="17"/>
        </w:rPr>
        <w:t xml:space="preserve"> - Instituto Brasileiro de Geografia e Estatística. Projeções da População do Brasil e Unidades da Federação por sexo e idade: 2010-2060. Rio de Janeiro: IBGE, 2018.</w:t>
      </w:r>
    </w:p>
    <w:p>
      <w:pPr>
        <w:spacing w:before="20" w:after="60" w:line="240" w:lineRule="auto"/>
        <w:ind w:left="432" w:hanging="432"/>
        <w:jc w:val="left"/>
      </w:pPr>
      <w:r>
        <w:rPr>
          <w:rFonts w:ascii="Calibri" w:hAnsi="Calibri"/>
          <w:sz w:val="17"/>
        </w:rPr>
        <w:t xml:space="preserve">7. </w:t>
      </w:r>
      <w:r>
        <w:rPr>
          <w:rFonts w:ascii="Calibri" w:hAnsi="Calibri"/>
          <w:b/>
          <w:sz w:val="17"/>
        </w:rPr>
        <w:t>WORLD HEALTH ORGANIZATION (WHO).</w:t>
      </w:r>
      <w:r>
        <w:rPr>
          <w:rFonts w:ascii="Calibri" w:hAnsi="Calibri"/>
          <w:sz w:val="17"/>
        </w:rPr>
        <w:t xml:space="preserve"> Recognizing adolescence: WHO guideline on assessing and managing children at primary health-care facilities. Geneva: World Health Organization, 2014.</w:t>
      </w:r>
    </w:p>
    <w:p>
      <w:pPr>
        <w:spacing w:before="20" w:after="60" w:line="240" w:lineRule="auto"/>
        <w:ind w:left="432" w:hanging="432"/>
        <w:jc w:val="left"/>
      </w:pPr>
      <w:r>
        <w:rPr>
          <w:rFonts w:ascii="Calibri" w:hAnsi="Calibri"/>
          <w:sz w:val="17"/>
        </w:rPr>
        <w:t xml:space="preserve">8. </w:t>
      </w:r>
      <w:r>
        <w:rPr>
          <w:rFonts w:ascii="Calibri" w:hAnsi="Calibri"/>
          <w:b/>
          <w:sz w:val="17"/>
        </w:rPr>
        <w:t>WORLD HEALTH ORGANIZATION (WHO).</w:t>
      </w:r>
      <w:r>
        <w:rPr>
          <w:rFonts w:ascii="Calibri" w:hAnsi="Calibri"/>
          <w:sz w:val="17"/>
        </w:rPr>
        <w:t xml:space="preserve"> Active ageing: a policy framework. Geneva: World Health Organization, 2002.</w:t>
      </w:r>
    </w:p>
    <w:p>
      <w:pPr>
        <w:spacing w:before="20" w:after="60" w:line="240" w:lineRule="auto"/>
        <w:ind w:left="432" w:hanging="432"/>
        <w:jc w:val="left"/>
      </w:pPr>
      <w:r>
        <w:rPr>
          <w:rFonts w:ascii="Calibri" w:hAnsi="Calibri"/>
          <w:sz w:val="17"/>
        </w:rPr>
        <w:t xml:space="preserve">9. </w:t>
      </w:r>
      <w:r>
        <w:rPr>
          <w:rFonts w:ascii="Calibri" w:hAnsi="Calibri"/>
          <w:b/>
          <w:sz w:val="17"/>
        </w:rPr>
        <w:t>WORLD HEALTH ORGANIZATION (WHO).</w:t>
      </w:r>
      <w:r>
        <w:rPr>
          <w:rFonts w:ascii="Calibri" w:hAnsi="Calibri"/>
          <w:sz w:val="17"/>
        </w:rPr>
        <w:t xml:space="preserve"> Global Tuberculosis Report 2023. Geneva: World Health Organization, 2023.</w:t>
      </w:r>
    </w:p>
    <w:p>
      <w:pPr>
        <w:spacing w:before="20" w:after="60" w:line="240" w:lineRule="auto"/>
        <w:ind w:left="432" w:hanging="432"/>
        <w:jc w:val="left"/>
      </w:pPr>
      <w:r>
        <w:rPr>
          <w:rFonts w:ascii="Calibri" w:hAnsi="Calibri"/>
          <w:sz w:val="17"/>
        </w:rPr>
        <w:t xml:space="preserve">10. </w:t>
      </w:r>
      <w:r>
        <w:rPr>
          <w:rFonts w:ascii="Calibri" w:hAnsi="Calibri"/>
          <w:b/>
          <w:sz w:val="17"/>
        </w:rPr>
        <w:t>LITTLE, Roderick J. A.; RUBIN, Donald B.</w:t>
      </w:r>
      <w:r>
        <w:rPr>
          <w:rFonts w:ascii="Calibri" w:hAnsi="Calibri"/>
          <w:sz w:val="17"/>
        </w:rPr>
        <w:t xml:space="preserve"> Statistical Analysis with Missing Data. 3. ed. Hoboken, NJ: John Wiley &amp; Sons, 2019.</w:t>
      </w:r>
    </w:p>
    <w:p>
      <w:pPr>
        <w:spacing w:before="20" w:after="60" w:line="240" w:lineRule="auto"/>
        <w:ind w:left="432" w:hanging="432"/>
        <w:jc w:val="left"/>
      </w:pPr>
      <w:r>
        <w:rPr>
          <w:rFonts w:ascii="Calibri" w:hAnsi="Calibri"/>
          <w:sz w:val="17"/>
        </w:rPr>
        <w:t xml:space="preserve">11. </w:t>
      </w:r>
      <w:r>
        <w:rPr>
          <w:rFonts w:ascii="Calibri" w:hAnsi="Calibri"/>
          <w:b/>
          <w:sz w:val="17"/>
        </w:rPr>
        <w:t>RUBIN, Donald B.</w:t>
      </w:r>
      <w:r>
        <w:rPr>
          <w:rFonts w:ascii="Calibri" w:hAnsi="Calibri"/>
          <w:sz w:val="17"/>
        </w:rPr>
        <w:t xml:space="preserve"> Multiple Imputation for Nonresponse in Surveys. New York: John Wiley &amp; Sons, 1987.</w:t>
      </w:r>
    </w:p>
    <w:p>
      <w:pPr>
        <w:spacing w:before="20" w:after="60" w:line="240" w:lineRule="auto"/>
        <w:ind w:left="432" w:hanging="432"/>
        <w:jc w:val="left"/>
      </w:pPr>
      <w:r>
        <w:rPr>
          <w:rFonts w:ascii="Calibri" w:hAnsi="Calibri"/>
          <w:sz w:val="17"/>
        </w:rPr>
        <w:t xml:space="preserve">12. </w:t>
      </w:r>
      <w:r>
        <w:rPr>
          <w:rFonts w:ascii="Calibri" w:hAnsi="Calibri"/>
          <w:b/>
          <w:sz w:val="17"/>
        </w:rPr>
        <w:t>SCHAFER, Joseph L.; GRAHAM, John W.</w:t>
      </w:r>
      <w:r>
        <w:rPr>
          <w:rFonts w:ascii="Calibri" w:hAnsi="Calibri"/>
          <w:sz w:val="17"/>
        </w:rPr>
        <w:t xml:space="preserve"> Missing data: our view of the state of the art. Psychological Methods, v. 7, n. 2, p. 147-177, 2002.</w:t>
      </w:r>
    </w:p>
    <w:p>
      <w:pPr>
        <w:spacing w:before="20" w:after="60" w:line="240" w:lineRule="auto"/>
        <w:ind w:left="432" w:hanging="432"/>
        <w:jc w:val="left"/>
      </w:pPr>
      <w:r>
        <w:rPr>
          <w:rFonts w:ascii="Calibri" w:hAnsi="Calibri"/>
          <w:sz w:val="17"/>
        </w:rPr>
        <w:t xml:space="preserve">13. </w:t>
      </w:r>
      <w:r>
        <w:rPr>
          <w:rFonts w:ascii="Calibri" w:hAnsi="Calibri"/>
          <w:b/>
          <w:sz w:val="17"/>
        </w:rPr>
        <w:t>BREIMAN, Leo; FRIEDMAN, Jerome H.; OLSHEN, Richard A.; STONE, Charles J.</w:t>
      </w:r>
      <w:r>
        <w:rPr>
          <w:rFonts w:ascii="Calibri" w:hAnsi="Calibri"/>
          <w:sz w:val="17"/>
        </w:rPr>
        <w:t xml:space="preserve"> Classification and Regression Trees. Belmont, CA: Wadsworth International Group, 1984.</w:t>
      </w:r>
    </w:p>
    <w:sectPr w:rsidR="00FC693F" w:rsidRPr="0006063C" w:rsidSect="00034616">
      <w:headerReference w:type="default" r:id="rId9"/>
      <w:footerReference w:type="default" r:id="rId10"/>
      <w:pgSz w:w="12240" w:h="15840"/>
      <w:pgMar w:top="1699"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Tópicos Avançados em Inteligência Artificial (TAIA) | Outubro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Relatório Técnico — Pré-Processamento, Seleção e Modelagem de Tuberculose (SINAN)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