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0"/>
      </w:pPr>
      <w:r>
        <w:t xml:space="preserve"/>
      </w:r>
    </w:p>
    <w:p>
      <w:pPr>
        <w:spacing w:after="120"/>
        <w:jc w:val="center"/>
      </w:pPr>
      <w:r>
        <w:rPr>
          <w:rFonts w:ascii="Arial" w:cs="Arial" w:eastAsia="Arial" w:hAnsi="Arial"/>
          <w:color w:val="888888"/>
          <w:sz w:val="20"/>
          <w:szCs w:val="20"/>
        </w:rPr>
        <w:t xml:space="preserve">Wayfair AI Automation Externship</w:t>
      </w:r>
    </w:p>
    <w:p>
      <w:pPr>
        <w:spacing w:after="160"/>
        <w:jc w:val="center"/>
      </w:pPr>
      <w:r>
        <w:rPr>
          <w:rFonts w:ascii="Arial" w:cs="Arial" w:eastAsia="Arial" w:hAnsi="Arial"/>
          <w:b/>
          <w:bCs/>
          <w:color w:val="1A3C5C"/>
          <w:sz w:val="48"/>
          <w:szCs w:val="48"/>
        </w:rPr>
        <w:t xml:space="preserve">Error Log &amp; Debugging Journal</w:t>
      </w:r>
    </w:p>
    <w:p>
      <w:pPr>
        <w:spacing w:after="80"/>
        <w:jc w:val="center"/>
      </w:pPr>
      <w:r>
        <w:rPr>
          <w:rFonts w:ascii="Arial" w:cs="Arial" w:eastAsia="Arial" w:hAnsi="Arial"/>
          <w:color w:val="666666"/>
          <w:sz w:val="20"/>
          <w:szCs w:val="20"/>
        </w:rPr>
        <w:t xml:space="preserve">Lazaro Valdez  ·  USF — Sophomore  ·  Started May 2026</w:t>
      </w:r>
    </w:p>
    <w:p>
      <w:pPr>
        <w:spacing w:after="400"/>
        <w:jc w:val="center"/>
      </w:pPr>
      <w:r>
        <w:rPr>
          <w:rFonts w:ascii="Arial" w:cs="Arial" w:eastAsia="Arial" w:hAnsi="Arial"/>
          <w:i/>
          <w:iCs/>
          <w:color w:val="666666"/>
          <w:sz w:val="20"/>
          <w:szCs w:val="20"/>
        </w:rPr>
        <w:t xml:space="preserve">Tracking errors encountered, root causes identified, and solutions applied across all projects.</w:t>
      </w:r>
    </w:p>
    <w:p>
      <w:pPr>
        <w:pBdr>
          <w:bottom w:val="single" w:color="1A3C5C" w:sz="6" w:space="1"/>
        </w:pBdr>
        <w:spacing w:after="320"/>
      </w:pPr>
      <w:r>
        <w:t xml:space="preserve"/>
      </w:r>
    </w:p>
    <w:p>
      <w:pPr>
        <w:pStyle w:val="Heading1"/>
        <w:pBdr>
          <w:bottom w:val="single" w:color="1A3C5C" w:sz="6" w:space="1"/>
        </w:pBdr>
        <w:spacing w:after="200" w:before="360"/>
      </w:pPr>
      <w:r>
        <w:rPr>
          <w:rFonts w:ascii="Arial" w:cs="Arial" w:eastAsia="Arial" w:hAnsi="Arial"/>
          <w:b/>
          <w:bCs/>
          <w:color w:val="1A3C5C"/>
          <w:sz w:val="32"/>
          <w:szCs w:val="32"/>
        </w:rPr>
        <w:t xml:space="preserve">How to Use This Document</w:t>
      </w:r>
    </w:p>
    <w:p>
      <w:pPr>
        <w:spacing w:after="100"/>
      </w:pPr>
      <w:r>
        <w:rPr>
          <w:rFonts w:ascii="Arial" w:cs="Arial" w:eastAsia="Arial" w:hAnsi="Arial"/>
          <w:sz w:val="20"/>
          <w:szCs w:val="20"/>
        </w:rPr>
        <w:t xml:space="preserve">This journal documents every meaningful error encountered during the Wayfair AI Automation Externship, across all five projects. Each entry captures the full debugging process — what failed, why it failed, what was done to fix it, and what to do differently going forward.</w:t>
      </w:r>
    </w:p>
    <w:p>
      <w:pPr>
        <w:spacing w:after="80"/>
      </w:pPr>
      <w:r>
        <w:t xml:space="preserve"/>
      </w:r>
    </w:p>
    <w:p>
      <w:pPr>
        <w:spacing w:after="100"/>
      </w:pPr>
      <w:r>
        <w:rPr>
          <w:rFonts w:ascii="Arial" w:cs="Arial" w:eastAsia="Arial" w:hAnsi="Arial"/>
          <w:b/>
          <w:bCs/>
          <w:sz w:val="20"/>
          <w:szCs w:val="20"/>
        </w:rPr>
        <w:t xml:space="preserve">Each error entry includes:</w:t>
      </w:r>
    </w:p>
    <w:p>
      <w:pPr>
        <w:pStyle w:val="ListParagraph"/>
        <w:numPr>
          <w:ilvl w:val="0"/>
          <w:numId w:val="2"/>
        </w:numPr>
        <w:spacing w:after="80"/>
      </w:pPr>
      <w:r>
        <w:rPr>
          <w:rFonts w:ascii="Arial" w:cs="Arial" w:eastAsia="Arial" w:hAnsi="Arial"/>
          <w:sz w:val="20"/>
          <w:szCs w:val="20"/>
        </w:rPr>
        <w:t xml:space="preserve"> Error ID and date for traceability</w:t>
      </w:r>
    </w:p>
    <w:p>
      <w:pPr>
        <w:pStyle w:val="ListParagraph"/>
        <w:numPr>
          <w:ilvl w:val="0"/>
          <w:numId w:val="2"/>
        </w:numPr>
        <w:spacing w:after="80"/>
      </w:pPr>
      <w:r>
        <w:rPr>
          <w:rFonts w:ascii="Arial" w:cs="Arial" w:eastAsia="Arial" w:hAnsi="Arial"/>
          <w:sz w:val="20"/>
          <w:szCs w:val="20"/>
        </w:rPr>
        <w:t xml:space="preserve"> The exact node or component where the error occurred</w:t>
      </w:r>
    </w:p>
    <w:p>
      <w:pPr>
        <w:pStyle w:val="ListParagraph"/>
        <w:numPr>
          <w:ilvl w:val="0"/>
          <w:numId w:val="2"/>
        </w:numPr>
        <w:spacing w:after="80"/>
      </w:pPr>
      <w:r>
        <w:rPr>
          <w:rFonts w:ascii="Arial" w:cs="Arial" w:eastAsia="Arial" w:hAnsi="Arial"/>
          <w:sz w:val="20"/>
          <w:szCs w:val="20"/>
        </w:rPr>
        <w:t xml:space="preserve"> Severity (HIGH / MEDIUM / LOW) and current status</w:t>
      </w:r>
    </w:p>
    <w:p>
      <w:pPr>
        <w:pStyle w:val="ListParagraph"/>
        <w:numPr>
          <w:ilvl w:val="0"/>
          <w:numId w:val="2"/>
        </w:numPr>
        <w:spacing w:after="80"/>
      </w:pPr>
      <w:r>
        <w:rPr>
          <w:rFonts w:ascii="Arial" w:cs="Arial" w:eastAsia="Arial" w:hAnsi="Arial"/>
          <w:sz w:val="20"/>
          <w:szCs w:val="20"/>
        </w:rPr>
        <w:t xml:space="preserve"> Symptom — what you saw in n8n or the API response</w:t>
      </w:r>
    </w:p>
    <w:p>
      <w:pPr>
        <w:pStyle w:val="ListParagraph"/>
        <w:numPr>
          <w:ilvl w:val="0"/>
          <w:numId w:val="2"/>
        </w:numPr>
        <w:spacing w:after="80"/>
      </w:pPr>
      <w:r>
        <w:rPr>
          <w:rFonts w:ascii="Arial" w:cs="Arial" w:eastAsia="Arial" w:hAnsi="Arial"/>
          <w:sz w:val="20"/>
          <w:szCs w:val="20"/>
        </w:rPr>
        <w:t xml:space="preserve"> Root cause — the underlying technical reason</w:t>
      </w:r>
    </w:p>
    <w:p>
      <w:pPr>
        <w:pStyle w:val="ListParagraph"/>
        <w:numPr>
          <w:ilvl w:val="0"/>
          <w:numId w:val="2"/>
        </w:numPr>
        <w:spacing w:after="80"/>
      </w:pPr>
      <w:r>
        <w:rPr>
          <w:rFonts w:ascii="Arial" w:cs="Arial" w:eastAsia="Arial" w:hAnsi="Arial"/>
          <w:sz w:val="20"/>
          <w:szCs w:val="20"/>
        </w:rPr>
        <w:t xml:space="preserve"> Fix applied — the exact change made to resolve it</w:t>
      </w:r>
    </w:p>
    <w:p>
      <w:pPr>
        <w:pStyle w:val="ListParagraph"/>
        <w:numPr>
          <w:ilvl w:val="0"/>
          <w:numId w:val="2"/>
        </w:numPr>
        <w:spacing w:after="80"/>
      </w:pPr>
      <w:r>
        <w:rPr>
          <w:rFonts w:ascii="Arial" w:cs="Arial" w:eastAsia="Arial" w:hAnsi="Arial"/>
          <w:sz w:val="20"/>
          <w:szCs w:val="20"/>
        </w:rPr>
        <w:t xml:space="preserve"> Prevention — the principle to carry forward to future projects</w:t>
      </w:r>
    </w:p>
    <w:p>
      <w:pPr>
        <w:spacing w:after="120"/>
      </w:pPr>
      <w:r>
        <w:t xml:space="preserve"/>
      </w:r>
    </w:p>
    <w:p>
      <w:pPr>
        <w:spacing w:after="100"/>
      </w:pPr>
      <w:r>
        <w:rPr>
          <w:rFonts w:ascii="Arial" w:cs="Arial" w:eastAsia="Arial" w:hAnsi="Arial"/>
          <w:b/>
          <w:bCs/>
          <w:sz w:val="20"/>
          <w:szCs w:val="20"/>
        </w:rPr>
        <w:t xml:space="preserve">Severity guide:</w:t>
      </w:r>
    </w:p>
    <w:p>
      <w:pPr>
        <w:pStyle w:val="ListParagraph"/>
        <w:numPr>
          <w:ilvl w:val="0"/>
          <w:numId w:val="2"/>
        </w:numPr>
        <w:spacing w:after="80"/>
      </w:pPr>
      <w:r>
        <w:rPr>
          <w:rFonts w:ascii="Arial" w:cs="Arial" w:eastAsia="Arial" w:hAnsi="Arial"/>
          <w:sz w:val="20"/>
          <w:szCs w:val="20"/>
        </w:rPr>
        <w:t xml:space="preserve">HIGH — workflow halted entirely, data was lost, or output was silently incorrect</w:t>
      </w:r>
    </w:p>
    <w:p>
      <w:pPr>
        <w:pStyle w:val="ListParagraph"/>
        <w:numPr>
          <w:ilvl w:val="0"/>
          <w:numId w:val="2"/>
        </w:numPr>
        <w:spacing w:after="80"/>
      </w:pPr>
      <w:r>
        <w:rPr>
          <w:rFonts w:ascii="Arial" w:cs="Arial" w:eastAsia="Arial" w:hAnsi="Arial"/>
          <w:sz w:val="20"/>
          <w:szCs w:val="20"/>
        </w:rPr>
        <w:t xml:space="preserve">MEDIUM — workflow degraded or required manual intervention to continue</w:t>
      </w:r>
    </w:p>
    <w:p>
      <w:pPr>
        <w:pStyle w:val="ListParagraph"/>
        <w:numPr>
          <w:ilvl w:val="0"/>
          <w:numId w:val="2"/>
        </w:numPr>
        <w:spacing w:after="80"/>
      </w:pPr>
      <w:r>
        <w:rPr>
          <w:rFonts w:ascii="Arial" w:cs="Arial" w:eastAsia="Arial" w:hAnsi="Arial"/>
          <w:sz w:val="20"/>
          <w:szCs w:val="20"/>
        </w:rPr>
        <w:t xml:space="preserve">LOW — minor issue, cosmetic, or easily worked around with no data impact</w:t>
      </w:r>
    </w:p>
    <w:p>
      <w:pPr>
        <w:spacing w:after="200"/>
      </w:pPr>
      <w:r>
        <w:t xml:space="preserve"/>
      </w:r>
    </w:p>
    <w:p>
      <w:pPr>
        <w:pStyle w:val="Heading1"/>
        <w:pBdr>
          <w:bottom w:val="single" w:color="1A3C5C" w:sz="6" w:space="1"/>
        </w:pBdr>
        <w:spacing w:after="200" w:before="360"/>
      </w:pPr>
      <w:r>
        <w:rPr>
          <w:rFonts w:ascii="Arial" w:cs="Arial" w:eastAsia="Arial" w:hAnsi="Arial"/>
          <w:b/>
          <w:bCs/>
          <w:color w:val="1A3C5C"/>
          <w:sz w:val="32"/>
          <w:szCs w:val="32"/>
        </w:rPr>
        <w:t xml:space="preserve">Error Summary</w:t>
      </w:r>
    </w:p>
    <w:p>
      <w:pPr>
        <w:spacing w:after="100"/>
      </w:pPr>
      <w:r>
        <w:rPr>
          <w:rFonts w:ascii="Arial" w:cs="Arial" w:eastAsia="Arial" w:hAnsi="Arial"/>
          <w:sz w:val="20"/>
          <w:szCs w:val="20"/>
        </w:rPr>
        <w:t xml:space="preserve">All errors logged to date, with quick-reference severity and status.</w:t>
      </w:r>
    </w:p>
    <w:p>
      <w:pPr>
        <w:spacing w:after="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00"/>
        <w:gridCol w:w="3160"/>
        <w:gridCol w:w="1400"/>
        <w:gridCol w:w="1400"/>
        <w:gridCol w:w="2800"/>
      </w:tblGrid>
      <w:tr>
        <w:tc>
          <w:tcPr>
            <w:tcW w:type="dxa" w:w="600"/>
            <w:tcBorders>
              <w:top w:val="single" w:color="D0D0D0" w:sz="1"/>
              <w:left w:val="single" w:color="D0D0D0" w:sz="1"/>
              <w:bottom w:val="single" w:color="D0D0D0" w:sz="1"/>
              <w:right w:val="single" w:color="D0D0D0" w:sz="1"/>
            </w:tcBorders>
            <w:shd w:fill="1A3C5C" w:val="clear"/>
            <w:tcMar>
              <w:top w:type="dxa" w:w="100"/>
              <w:left w:type="dxa" w:w="140"/>
              <w:bottom w:type="dxa" w:w="100"/>
              <w:right w:type="dxa" w:w="140"/>
            </w:tcMar>
          </w:tcPr>
          <w:p>
            <w:r>
              <w:rPr>
                <w:rFonts w:ascii="Arial" w:cs="Arial" w:eastAsia="Arial" w:hAnsi="Arial"/>
                <w:b/>
                <w:bCs/>
                <w:color w:val="FFFFFF"/>
                <w:sz w:val="20"/>
                <w:szCs w:val="20"/>
              </w:rPr>
              <w:t xml:space="preserve">#</w:t>
            </w:r>
          </w:p>
        </w:tc>
        <w:tc>
          <w:tcPr>
            <w:tcW w:type="dxa" w:w="3160"/>
            <w:tcBorders>
              <w:top w:val="single" w:color="D0D0D0" w:sz="1"/>
              <w:left w:val="single" w:color="D0D0D0" w:sz="1"/>
              <w:bottom w:val="single" w:color="D0D0D0" w:sz="1"/>
              <w:right w:val="single" w:color="D0D0D0" w:sz="1"/>
            </w:tcBorders>
            <w:shd w:fill="1A3C5C" w:val="clear"/>
            <w:tcMar>
              <w:top w:type="dxa" w:w="100"/>
              <w:left w:type="dxa" w:w="140"/>
              <w:bottom w:type="dxa" w:w="100"/>
              <w:right w:type="dxa" w:w="140"/>
            </w:tcMar>
          </w:tcPr>
          <w:p>
            <w:r>
              <w:rPr>
                <w:rFonts w:ascii="Arial" w:cs="Arial" w:eastAsia="Arial" w:hAnsi="Arial"/>
                <w:b/>
                <w:bCs/>
                <w:color w:val="FFFFFF"/>
                <w:sz w:val="20"/>
                <w:szCs w:val="20"/>
              </w:rPr>
              <w:t xml:space="preserve">Error Type</w:t>
            </w:r>
          </w:p>
        </w:tc>
        <w:tc>
          <w:tcPr>
            <w:tcW w:type="dxa" w:w="1400"/>
            <w:tcBorders>
              <w:top w:val="single" w:color="D0D0D0" w:sz="1"/>
              <w:left w:val="single" w:color="D0D0D0" w:sz="1"/>
              <w:bottom w:val="single" w:color="D0D0D0" w:sz="1"/>
              <w:right w:val="single" w:color="D0D0D0" w:sz="1"/>
            </w:tcBorders>
            <w:shd w:fill="1A3C5C" w:val="clear"/>
            <w:tcMar>
              <w:top w:type="dxa" w:w="100"/>
              <w:left w:type="dxa" w:w="140"/>
              <w:bottom w:type="dxa" w:w="100"/>
              <w:right w:type="dxa" w:w="140"/>
            </w:tcMar>
          </w:tcPr>
          <w:p>
            <w:r>
              <w:rPr>
                <w:rFonts w:ascii="Arial" w:cs="Arial" w:eastAsia="Arial" w:hAnsi="Arial"/>
                <w:b/>
                <w:bCs/>
                <w:color w:val="FFFFFF"/>
                <w:sz w:val="20"/>
                <w:szCs w:val="20"/>
              </w:rPr>
              <w:t xml:space="preserve">Node</w:t>
            </w:r>
          </w:p>
        </w:tc>
        <w:tc>
          <w:tcPr>
            <w:tcW w:type="dxa" w:w="1400"/>
            <w:tcBorders>
              <w:top w:val="single" w:color="D0D0D0" w:sz="1"/>
              <w:left w:val="single" w:color="D0D0D0" w:sz="1"/>
              <w:bottom w:val="single" w:color="D0D0D0" w:sz="1"/>
              <w:right w:val="single" w:color="D0D0D0" w:sz="1"/>
            </w:tcBorders>
            <w:shd w:fill="1A3C5C" w:val="clear"/>
            <w:tcMar>
              <w:top w:type="dxa" w:w="100"/>
              <w:left w:type="dxa" w:w="140"/>
              <w:bottom w:type="dxa" w:w="100"/>
              <w:right w:type="dxa" w:w="140"/>
            </w:tcMar>
          </w:tcPr>
          <w:p>
            <w:r>
              <w:rPr>
                <w:rFonts w:ascii="Arial" w:cs="Arial" w:eastAsia="Arial" w:hAnsi="Arial"/>
                <w:b/>
                <w:bCs/>
                <w:color w:val="FFFFFF"/>
                <w:sz w:val="20"/>
                <w:szCs w:val="20"/>
              </w:rPr>
              <w:t xml:space="preserve">Severity</w:t>
            </w:r>
          </w:p>
        </w:tc>
        <w:tc>
          <w:tcPr>
            <w:tcW w:type="dxa" w:w="2800"/>
            <w:tcBorders>
              <w:top w:val="single" w:color="D0D0D0" w:sz="1"/>
              <w:left w:val="single" w:color="D0D0D0" w:sz="1"/>
              <w:bottom w:val="single" w:color="D0D0D0" w:sz="1"/>
              <w:right w:val="single" w:color="D0D0D0" w:sz="1"/>
            </w:tcBorders>
            <w:shd w:fill="1A3C5C" w:val="clear"/>
            <w:tcMar>
              <w:top w:type="dxa" w:w="100"/>
              <w:left w:type="dxa" w:w="140"/>
              <w:bottom w:type="dxa" w:w="100"/>
              <w:right w:type="dxa" w:w="140"/>
            </w:tcMar>
          </w:tcPr>
          <w:p>
            <w:r>
              <w:rPr>
                <w:rFonts w:ascii="Arial" w:cs="Arial" w:eastAsia="Arial" w:hAnsi="Arial"/>
                <w:b/>
                <w:bCs/>
                <w:color w:val="FFFFFF"/>
                <w:sz w:val="20"/>
                <w:szCs w:val="20"/>
              </w:rPr>
              <w:t xml:space="preserve">Status</w:t>
            </w:r>
          </w:p>
        </w:tc>
      </w:tr>
      <w:tr>
        <w:tc>
          <w:tcPr>
            <w:tcW w:type="dxa" w:w="600"/>
            <w:tcBorders>
              <w:top w:val="single" w:color="D0D0D0" w:sz="1"/>
              <w:left w:val="single" w:color="D0D0D0" w:sz="1"/>
              <w:bottom w:val="single" w:color="D0D0D0" w:sz="1"/>
              <w:right w:val="single" w:color="D0D0D0" w:sz="1"/>
            </w:tcBorders>
            <w:shd w:fill="F4F8FC" w:val="clear"/>
            <w:tcMar>
              <w:top w:type="dxa" w:w="100"/>
              <w:left w:type="dxa" w:w="140"/>
              <w:bottom w:type="dxa" w:w="100"/>
              <w:right w:type="dxa" w:w="140"/>
            </w:tcMar>
          </w:tcPr>
          <w:p>
            <w:r>
              <w:rPr>
                <w:rFonts w:ascii="Arial" w:cs="Arial" w:eastAsia="Arial" w:hAnsi="Arial"/>
                <w:b w:val="false"/>
                <w:bCs w:val="false"/>
                <w:sz w:val="20"/>
                <w:szCs w:val="20"/>
              </w:rPr>
              <w:t xml:space="preserve">ERR-001</w:t>
            </w:r>
          </w:p>
        </w:tc>
        <w:tc>
          <w:tcPr>
            <w:tcW w:type="dxa" w:w="3160"/>
            <w:tcBorders>
              <w:top w:val="single" w:color="D0D0D0" w:sz="1"/>
              <w:left w:val="single" w:color="D0D0D0" w:sz="1"/>
              <w:bottom w:val="single" w:color="D0D0D0" w:sz="1"/>
              <w:right w:val="single" w:color="D0D0D0" w:sz="1"/>
            </w:tcBorders>
            <w:shd w:fill="F4F8FC" w:val="clear"/>
            <w:tcMar>
              <w:top w:type="dxa" w:w="100"/>
              <w:left w:type="dxa" w:w="140"/>
              <w:bottom w:type="dxa" w:w="100"/>
              <w:right w:type="dxa" w:w="140"/>
            </w:tcMar>
          </w:tcPr>
          <w:p>
            <w:r>
              <w:rPr>
                <w:rFonts w:ascii="Arial" w:cs="Arial" w:eastAsia="Arial" w:hAnsi="Arial"/>
                <w:b w:val="false"/>
                <w:bCs w:val="false"/>
                <w:sz w:val="20"/>
                <w:szCs w:val="20"/>
              </w:rPr>
              <w:t xml:space="preserve">n8n Execution Context Break — 'Node Not Found' After Loop Aggregation</w:t>
            </w:r>
          </w:p>
        </w:tc>
        <w:tc>
          <w:tcPr>
            <w:tcW w:type="dxa" w:w="1400"/>
            <w:tcBorders>
              <w:top w:val="single" w:color="D0D0D0" w:sz="1"/>
              <w:left w:val="single" w:color="D0D0D0" w:sz="1"/>
              <w:bottom w:val="single" w:color="D0D0D0" w:sz="1"/>
              <w:right w:val="single" w:color="D0D0D0" w:sz="1"/>
            </w:tcBorders>
            <w:shd w:fill="F4F8FC" w:val="clear"/>
            <w:tcMar>
              <w:top w:type="dxa" w:w="100"/>
              <w:left w:type="dxa" w:w="140"/>
              <w:bottom w:type="dxa" w:w="100"/>
              <w:right w:type="dxa" w:w="140"/>
            </w:tcMar>
          </w:tcPr>
          <w:p>
            <w:r>
              <w:rPr>
                <w:rFonts w:ascii="Arial" w:cs="Arial" w:eastAsia="Arial" w:hAnsi="Arial"/>
                <w:b w:val="false"/>
                <w:bCs w:val="false"/>
                <w:sz w:val="20"/>
                <w:szCs w:val="20"/>
              </w:rPr>
              <w:t xml:space="preserve">Executive Summary Generator (AI Agent)</w:t>
            </w:r>
          </w:p>
        </w:tc>
        <w:tc>
          <w:tcPr>
            <w:tcW w:type="dxa" w:w="1400"/>
            <w:tcBorders>
              <w:top w:val="single" w:color="D0D0D0" w:sz="1"/>
              <w:left w:val="single" w:color="D0D0D0" w:sz="1"/>
              <w:bottom w:val="single" w:color="D0D0D0" w:sz="1"/>
              <w:right w:val="single" w:color="D0D0D0" w:sz="1"/>
            </w:tcBorders>
            <w:shd w:fill="F4F8FC" w:val="clear"/>
            <w:tcMar>
              <w:top w:type="dxa" w:w="100"/>
              <w:left w:type="dxa" w:w="140"/>
              <w:bottom w:type="dxa" w:w="100"/>
              <w:right w:type="dxa" w:w="140"/>
            </w:tcMar>
          </w:tcPr>
          <w:p>
            <w:r>
              <w:rPr>
                <w:rFonts w:ascii="Arial" w:cs="Arial" w:eastAsia="Arial" w:hAnsi="Arial"/>
                <w:b/>
                <w:bCs/>
                <w:color w:val="C0392B"/>
                <w:sz w:val="20"/>
                <w:szCs w:val="20"/>
              </w:rPr>
              <w:t xml:space="preserve">HIGH</w:t>
            </w:r>
          </w:p>
        </w:tc>
        <w:tc>
          <w:tcPr>
            <w:tcW w:type="dxa" w:w="2800"/>
            <w:tcBorders>
              <w:top w:val="single" w:color="D0D0D0" w:sz="1"/>
              <w:left w:val="single" w:color="D0D0D0" w:sz="1"/>
              <w:bottom w:val="single" w:color="D0D0D0" w:sz="1"/>
              <w:right w:val="single" w:color="D0D0D0" w:sz="1"/>
            </w:tcBorders>
            <w:shd w:fill="F4F8FC" w:val="clear"/>
            <w:tcMar>
              <w:top w:type="dxa" w:w="100"/>
              <w:left w:type="dxa" w:w="140"/>
              <w:bottom w:type="dxa" w:w="100"/>
              <w:right w:type="dxa" w:w="140"/>
            </w:tcMar>
          </w:tcPr>
          <w:p>
            <w:r>
              <w:rPr>
                <w:rFonts w:ascii="Arial" w:cs="Arial" w:eastAsia="Arial" w:hAnsi="Arial"/>
                <w:b/>
                <w:bCs/>
                <w:color w:val="27AE60"/>
                <w:sz w:val="20"/>
                <w:szCs w:val="20"/>
              </w:rPr>
              <w:t xml:space="preserve">● RESOLVED</w:t>
            </w:r>
          </w:p>
        </w:tc>
      </w:tr>
      <w:tr>
        <w:tc>
          <w:tcPr>
            <w:tcW w:type="dxa" w:w="600"/>
            <w:tcBorders>
              <w:top w:val="single" w:color="D0D0D0" w:sz="1"/>
              <w:left w:val="single" w:color="D0D0D0" w:sz="1"/>
              <w:bottom w:val="single" w:color="D0D0D0" w:sz="1"/>
              <w:right w:val="single" w:color="D0D0D0" w:sz="1"/>
            </w:tcBorders>
            <w:shd w:fill="FFFFFF" w:val="clear"/>
            <w:tcMar>
              <w:top w:type="dxa" w:w="100"/>
              <w:left w:type="dxa" w:w="140"/>
              <w:bottom w:type="dxa" w:w="100"/>
              <w:right w:type="dxa" w:w="140"/>
            </w:tcMar>
          </w:tcPr>
          <w:p>
            <w:r>
              <w:rPr>
                <w:rFonts w:ascii="Arial" w:cs="Arial" w:eastAsia="Arial" w:hAnsi="Arial"/>
                <w:b w:val="false"/>
                <w:bCs w:val="false"/>
                <w:sz w:val="20"/>
                <w:szCs w:val="20"/>
              </w:rPr>
              <w:t xml:space="preserve">ERR-002</w:t>
            </w:r>
          </w:p>
        </w:tc>
        <w:tc>
          <w:tcPr>
            <w:tcW w:type="dxa" w:w="3160"/>
            <w:tcBorders>
              <w:top w:val="single" w:color="D0D0D0" w:sz="1"/>
              <w:left w:val="single" w:color="D0D0D0" w:sz="1"/>
              <w:bottom w:val="single" w:color="D0D0D0" w:sz="1"/>
              <w:right w:val="single" w:color="D0D0D0" w:sz="1"/>
            </w:tcBorders>
            <w:shd w:fill="FFFFFF" w:val="clear"/>
            <w:tcMar>
              <w:top w:type="dxa" w:w="100"/>
              <w:left w:type="dxa" w:w="140"/>
              <w:bottom w:type="dxa" w:w="100"/>
              <w:right w:type="dxa" w:w="140"/>
            </w:tcMar>
          </w:tcPr>
          <w:p>
            <w:r>
              <w:rPr>
                <w:rFonts w:ascii="Arial" w:cs="Arial" w:eastAsia="Arial" w:hAnsi="Arial"/>
                <w:b w:val="false"/>
                <w:bCs w:val="false"/>
                <w:sz w:val="20"/>
                <w:szCs w:val="20"/>
              </w:rPr>
              <w:t xml:space="preserve">Gemini API 2.5 Flash — 503 Service Unavailable</w:t>
            </w:r>
          </w:p>
        </w:tc>
        <w:tc>
          <w:tcPr>
            <w:tcW w:type="dxa" w:w="1400"/>
            <w:tcBorders>
              <w:top w:val="single" w:color="D0D0D0" w:sz="1"/>
              <w:left w:val="single" w:color="D0D0D0" w:sz="1"/>
              <w:bottom w:val="single" w:color="D0D0D0" w:sz="1"/>
              <w:right w:val="single" w:color="D0D0D0" w:sz="1"/>
            </w:tcBorders>
            <w:shd w:fill="FFFFFF" w:val="clear"/>
            <w:tcMar>
              <w:top w:type="dxa" w:w="100"/>
              <w:left w:type="dxa" w:w="140"/>
              <w:bottom w:type="dxa" w:w="100"/>
              <w:right w:type="dxa" w:w="140"/>
            </w:tcMar>
          </w:tcPr>
          <w:p>
            <w:r>
              <w:rPr>
                <w:rFonts w:ascii="Arial" w:cs="Arial" w:eastAsia="Arial" w:hAnsi="Arial"/>
                <w:b w:val="false"/>
                <w:bCs w:val="false"/>
                <w:sz w:val="20"/>
                <w:szCs w:val="20"/>
              </w:rPr>
              <w:t xml:space="preserve">Market Research Generator / Report Generation Agents (Google Gemini)</w:t>
            </w:r>
          </w:p>
        </w:tc>
        <w:tc>
          <w:tcPr>
            <w:tcW w:type="dxa" w:w="1400"/>
            <w:tcBorders>
              <w:top w:val="single" w:color="D0D0D0" w:sz="1"/>
              <w:left w:val="single" w:color="D0D0D0" w:sz="1"/>
              <w:bottom w:val="single" w:color="D0D0D0" w:sz="1"/>
              <w:right w:val="single" w:color="D0D0D0" w:sz="1"/>
            </w:tcBorders>
            <w:shd w:fill="FFFFFF" w:val="clear"/>
            <w:tcMar>
              <w:top w:type="dxa" w:w="100"/>
              <w:left w:type="dxa" w:w="140"/>
              <w:bottom w:type="dxa" w:w="100"/>
              <w:right w:type="dxa" w:w="140"/>
            </w:tcMar>
          </w:tcPr>
          <w:p>
            <w:r>
              <w:rPr>
                <w:rFonts w:ascii="Arial" w:cs="Arial" w:eastAsia="Arial" w:hAnsi="Arial"/>
                <w:b/>
                <w:bCs/>
                <w:color w:val="E67E22"/>
                <w:sz w:val="20"/>
                <w:szCs w:val="20"/>
              </w:rPr>
              <w:t xml:space="preserve">MEDIUM</w:t>
            </w:r>
          </w:p>
        </w:tc>
        <w:tc>
          <w:tcPr>
            <w:tcW w:type="dxa" w:w="2800"/>
            <w:tcBorders>
              <w:top w:val="single" w:color="D0D0D0" w:sz="1"/>
              <w:left w:val="single" w:color="D0D0D0" w:sz="1"/>
              <w:bottom w:val="single" w:color="D0D0D0" w:sz="1"/>
              <w:right w:val="single" w:color="D0D0D0" w:sz="1"/>
            </w:tcBorders>
            <w:shd w:fill="FFFFFF" w:val="clear"/>
            <w:tcMar>
              <w:top w:type="dxa" w:w="100"/>
              <w:left w:type="dxa" w:w="140"/>
              <w:bottom w:type="dxa" w:w="100"/>
              <w:right w:type="dxa" w:w="140"/>
            </w:tcMar>
          </w:tcPr>
          <w:p>
            <w:r>
              <w:rPr>
                <w:rFonts w:ascii="Arial" w:cs="Arial" w:eastAsia="Arial" w:hAnsi="Arial"/>
                <w:b/>
                <w:bCs/>
                <w:color w:val="27AE60"/>
                <w:sz w:val="20"/>
                <w:szCs w:val="20"/>
              </w:rPr>
              <w:t xml:space="preserve">● RESOLVED</w:t>
            </w:r>
          </w:p>
        </w:tc>
      </w:tr>
    </w:tbl>
    <w:p>
      <w:pPr>
        <w:spacing w:after="280"/>
      </w:pPr>
      <w:r>
        <w:t xml:space="preserve"/>
      </w:r>
    </w:p>
    <w:p>
      <w:pPr>
        <w:pStyle w:val="Heading1"/>
        <w:pBdr>
          <w:bottom w:val="single" w:color="1A3C5C" w:sz="6" w:space="1"/>
        </w:pBdr>
        <w:spacing w:after="200" w:before="360"/>
      </w:pPr>
      <w:r>
        <w:rPr>
          <w:rFonts w:ascii="Arial" w:cs="Arial" w:eastAsia="Arial" w:hAnsi="Arial"/>
          <w:b/>
          <w:bCs/>
          <w:color w:val="1A3C5C"/>
          <w:sz w:val="32"/>
          <w:szCs w:val="32"/>
        </w:rPr>
        <w:t xml:space="preserve">Error Entries</w:t>
      </w:r>
    </w:p>
    <w:p>
      <w:pPr>
        <w:spacing w:after="80"/>
      </w:pPr>
      <w:r>
        <w:t xml:space="preserve"/>
      </w:r>
    </w:p>
    <w:p>
      <w:pPr>
        <w:pStyle w:val="Heading2"/>
        <w:spacing w:after="160" w:before="320"/>
      </w:pPr>
      <w:r>
        <w:rPr>
          <w:rFonts w:ascii="Arial" w:cs="Arial" w:eastAsia="Arial" w:hAnsi="Arial"/>
          <w:b/>
          <w:bCs/>
          <w:color w:val="2E6DA4"/>
          <w:sz w:val="26"/>
          <w:szCs w:val="26"/>
        </w:rPr>
        <w:t xml:space="preserve">ERR-001  —  n8n Execution Context Break — 'Node Not Found' After Loop Aggregation</w:t>
      </w:r>
    </w:p>
    <w:p>
      <w:pPr>
        <w:spacing w:after="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7360"/>
      </w:tblGrid>
      <w:tr>
        <w:tc>
          <w:tcPr>
            <w:tcW w:type="dxa" w:w="9360"/>
            <w:gridSpan w:val="2"/>
            <w:tcBorders>
              <w:top w:val="single" w:color="D0D0D0" w:sz="1"/>
              <w:left w:val="single" w:color="D0D0D0" w:sz="1"/>
              <w:bottom w:val="single" w:color="D0D0D0" w:sz="1"/>
              <w:right w:val="single" w:color="D0D0D0" w:sz="1"/>
            </w:tcBorders>
            <w:shd w:fill="1A3C5C" w:val="clear"/>
            <w:tcMar>
              <w:top w:type="dxa" w:w="120"/>
              <w:left w:type="dxa" w:w="140"/>
              <w:bottom w:type="dxa" w:w="120"/>
              <w:right w:type="dxa" w:w="140"/>
            </w:tcMar>
          </w:tcPr>
          <w:p>
            <w:r>
              <w:rPr>
                <w:rFonts w:ascii="Arial" w:cs="Arial" w:eastAsia="Arial" w:hAnsi="Arial"/>
                <w:b/>
                <w:bCs/>
                <w:color w:val="7FB3D3"/>
                <w:sz w:val="22"/>
                <w:szCs w:val="22"/>
              </w:rPr>
              <w:t xml:space="preserve">[ERR-001]  </w:t>
            </w:r>
            <w:r>
              <w:rPr>
                <w:rFonts w:ascii="Arial" w:cs="Arial" w:eastAsia="Arial" w:hAnsi="Arial"/>
                <w:b/>
                <w:bCs/>
                <w:color w:val="FFFFFF"/>
                <w:sz w:val="22"/>
                <w:szCs w:val="22"/>
              </w:rPr>
              <w:t xml:space="preserve">n8n Execution Context Break — 'Node Not Found' After Loop Aggregation</w:t>
            </w:r>
          </w:p>
        </w:tc>
      </w:tr>
      <w:tr>
        <w:tc>
          <w:tcPr>
            <w:tcW w:type="dxa" w:w="9360"/>
            <w:gridSpan w:val="2"/>
            <w:tcBorders>
              <w:top w:val="single" w:color="D0D0D0" w:sz="1"/>
              <w:left w:val="single" w:color="D0D0D0" w:sz="1"/>
              <w:bottom w:val="single" w:color="D0D0D0" w:sz="1"/>
              <w:right w:val="single" w:color="D0D0D0" w:sz="1"/>
            </w:tcBorders>
            <w:shd w:fill="EBF2F8" w:val="clear"/>
            <w:tcMar>
              <w:top w:type="dxa" w:w="80"/>
              <w:left w:type="dxa" w:w="140"/>
              <w:bottom w:type="dxa" w:w="80"/>
              <w:right w:type="dxa" w:w="140"/>
            </w:tcMar>
          </w:tcPr>
          <w:p>
            <w:r>
              <w:rPr>
                <w:rFonts w:ascii="Arial" w:cs="Arial" w:eastAsia="Arial" w:hAnsi="Arial"/>
                <w:b/>
                <w:bCs/>
                <w:color w:val="555555"/>
                <w:sz w:val="19"/>
                <w:szCs w:val="19"/>
              </w:rPr>
              <w:t xml:space="preserve">Date: </w:t>
            </w:r>
            <w:r>
              <w:rPr>
                <w:rFonts w:ascii="Arial" w:cs="Arial" w:eastAsia="Arial" w:hAnsi="Arial"/>
                <w:color w:val="333333"/>
                <w:sz w:val="19"/>
                <w:szCs w:val="19"/>
              </w:rPr>
              <w:t xml:space="preserve">May 2026     </w:t>
            </w:r>
            <w:r>
              <w:rPr>
                <w:rFonts w:ascii="Arial" w:cs="Arial" w:eastAsia="Arial" w:hAnsi="Arial"/>
                <w:b/>
                <w:bCs/>
                <w:color w:val="555555"/>
                <w:sz w:val="19"/>
                <w:szCs w:val="19"/>
              </w:rPr>
              <w:t xml:space="preserve">Project: </w:t>
            </w:r>
            <w:r>
              <w:rPr>
                <w:rFonts w:ascii="Arial" w:cs="Arial" w:eastAsia="Arial" w:hAnsi="Arial"/>
                <w:color w:val="333333"/>
                <w:sz w:val="19"/>
                <w:szCs w:val="19"/>
              </w:rPr>
              <w:t xml:space="preserve">Project 02 — Market Trend Discovery Agent     </w:t>
            </w:r>
            <w:r>
              <w:rPr>
                <w:rFonts w:ascii="Arial" w:cs="Arial" w:eastAsia="Arial" w:hAnsi="Arial"/>
                <w:b/>
                <w:bCs/>
                <w:color w:val="555555"/>
                <w:sz w:val="19"/>
                <w:szCs w:val="19"/>
              </w:rPr>
              <w:t xml:space="preserve">Node/Component: </w:t>
            </w:r>
            <w:r>
              <w:rPr>
                <w:rFonts w:ascii="Arial" w:cs="Arial" w:eastAsia="Arial" w:hAnsi="Arial"/>
                <w:color w:val="333333"/>
                <w:sz w:val="19"/>
                <w:szCs w:val="19"/>
              </w:rPr>
              <w:t xml:space="preserve">Executive Summary Generator (AI Agent)     </w:t>
            </w:r>
            <w:r>
              <w:rPr>
                <w:rFonts w:ascii="Arial" w:cs="Arial" w:eastAsia="Arial" w:hAnsi="Arial"/>
                <w:b/>
                <w:bCs/>
                <w:color w:val="555555"/>
                <w:sz w:val="19"/>
                <w:szCs w:val="19"/>
              </w:rPr>
              <w:t xml:space="preserve">Severity: </w:t>
            </w:r>
            <w:r>
              <w:rPr>
                <w:rFonts w:ascii="Arial" w:cs="Arial" w:eastAsia="Arial" w:hAnsi="Arial"/>
                <w:b/>
                <w:bCs/>
                <w:color w:val="C0392B"/>
                <w:sz w:val="19"/>
                <w:szCs w:val="19"/>
              </w:rPr>
              <w:t xml:space="preserve">HIGH</w:t>
            </w:r>
          </w:p>
        </w:tc>
      </w:tr>
      <w:tr>
        <w:tc>
          <w:tcPr>
            <w:tcW w:type="dxa" w:w="2000"/>
            <w:tcBorders>
              <w:top w:val="single" w:color="D0D0D0" w:sz="1"/>
              <w:left w:val="single" w:color="D0D0D0" w:sz="1"/>
              <w:bottom w:val="single" w:color="D0D0D0" w:sz="1"/>
              <w:right w:val="single" w:color="D0D0D0" w:sz="1"/>
            </w:tcBorders>
            <w:shd w:fill="D6E8F5" w:val="clear"/>
            <w:tcMar>
              <w:top w:type="dxa" w:w="100"/>
              <w:left w:type="dxa" w:w="140"/>
              <w:bottom w:type="dxa" w:w="100"/>
              <w:right w:type="dxa" w:w="140"/>
            </w:tcMar>
          </w:tcPr>
          <w:p>
            <w:r>
              <w:rPr>
                <w:rFonts w:ascii="Arial" w:cs="Arial" w:eastAsia="Arial" w:hAnsi="Arial"/>
                <w:b/>
                <w:bCs/>
                <w:color w:val="1A3C5C"/>
                <w:sz w:val="20"/>
                <w:szCs w:val="20"/>
              </w:rPr>
              <w:t xml:space="preserve">Symptom / Error Message</w:t>
            </w:r>
          </w:p>
        </w:tc>
        <w:tc>
          <w:tcPr>
            <w:tcW w:type="dxa" w:w="7360"/>
            <w:tcBorders>
              <w:top w:val="single" w:color="D0D0D0" w:sz="1"/>
              <w:left w:val="single" w:color="D0D0D0" w:sz="1"/>
              <w:bottom w:val="single" w:color="D0D0D0" w:sz="1"/>
              <w:right w:val="single" w:color="D0D0D0" w:sz="1"/>
            </w:tcBorders>
            <w:shd w:fill="FAFAFA" w:val="clear"/>
            <w:tcMar>
              <w:top w:type="dxa" w:w="100"/>
              <w:left w:type="dxa" w:w="140"/>
              <w:bottom w:type="dxa" w:w="100"/>
              <w:right w:type="dxa" w:w="140"/>
            </w:tcMar>
          </w:tcPr>
          <w:p>
            <w:r>
              <w:rPr>
                <w:rFonts w:ascii="Arial" w:cs="Arial" w:eastAsia="Arial" w:hAnsi="Arial"/>
                <w:sz w:val="20"/>
                <w:szCs w:val="20"/>
              </w:rPr>
              <w:t xml:space="preserve">'Save Standardized Data' node not found. Error thrown inside the Executive Summary Generator AI Agent prompt expression, despite Save Standardized Data running successfully earlier in the same workflow execution.</w:t>
            </w:r>
          </w:p>
        </w:tc>
      </w:tr>
      <w:tr>
        <w:tc>
          <w:tcPr>
            <w:tcW w:type="dxa" w:w="2000"/>
            <w:tcBorders>
              <w:top w:val="single" w:color="D0D0D0" w:sz="1"/>
              <w:left w:val="single" w:color="D0D0D0" w:sz="1"/>
              <w:bottom w:val="single" w:color="D0D0D0" w:sz="1"/>
              <w:right w:val="single" w:color="D0D0D0" w:sz="1"/>
            </w:tcBorders>
            <w:shd w:fill="D6E8F5" w:val="clear"/>
            <w:tcMar>
              <w:top w:type="dxa" w:w="100"/>
              <w:left w:type="dxa" w:w="140"/>
              <w:bottom w:type="dxa" w:w="100"/>
              <w:right w:type="dxa" w:w="140"/>
            </w:tcMar>
          </w:tcPr>
          <w:p>
            <w:r>
              <w:rPr>
                <w:rFonts w:ascii="Arial" w:cs="Arial" w:eastAsia="Arial" w:hAnsi="Arial"/>
                <w:b/>
                <w:bCs/>
                <w:color w:val="1A3C5C"/>
                <w:sz w:val="20"/>
                <w:szCs w:val="20"/>
              </w:rPr>
              <w:t xml:space="preserve">Root Cause</w:t>
            </w:r>
          </w:p>
        </w:tc>
        <w:tc>
          <w:tcPr>
            <w:tcW w:type="dxa" w:w="7360"/>
            <w:tcBorders>
              <w:top w:val="single" w:color="D0D0D0" w:sz="1"/>
              <w:left w:val="single" w:color="D0D0D0" w:sz="1"/>
              <w:bottom w:val="single" w:color="D0D0D0" w:sz="1"/>
              <w:right w:val="single" w:color="D0D0D0" w:sz="1"/>
            </w:tcBorders>
            <w:shd w:fill="FFFFFF" w:val="clear"/>
            <w:tcMar>
              <w:top w:type="dxa" w:w="100"/>
              <w:left w:type="dxa" w:w="140"/>
              <w:bottom w:type="dxa" w:w="100"/>
              <w:right w:type="dxa" w:w="140"/>
            </w:tcMar>
          </w:tcPr>
          <w:p>
            <w:r>
              <w:rPr>
                <w:rFonts w:ascii="Arial" w:cs="Arial" w:eastAsia="Arial" w:hAnsi="Arial"/>
                <w:sz w:val="20"/>
                <w:szCs w:val="20"/>
              </w:rPr>
              <w:t xml:space="preserve">In n8n, Collect All Images uses $input.all() to aggregate multiple loop items into a single new synthetic item. This resets the execution context for all downstream nodes. AI Agent nodes resolve $('NodeName') expressions against the current item's lineage — after the context reset, pre-loop nodes like Save Standardized Data are no longer reachable. Regular Code nodes (e.g. Scope Generator) can still cross the boundary because they use n8n's full run-history API, but AI Agent prompt expressions cannot.</w:t>
            </w:r>
          </w:p>
        </w:tc>
      </w:tr>
      <w:tr>
        <w:tc>
          <w:tcPr>
            <w:tcW w:type="dxa" w:w="2000"/>
            <w:tcBorders>
              <w:top w:val="single" w:color="D0D0D0" w:sz="1"/>
              <w:left w:val="single" w:color="D0D0D0" w:sz="1"/>
              <w:bottom w:val="single" w:color="D0D0D0" w:sz="1"/>
              <w:right w:val="single" w:color="D0D0D0" w:sz="1"/>
            </w:tcBorders>
            <w:shd w:fill="D6E8F5" w:val="clear"/>
            <w:tcMar>
              <w:top w:type="dxa" w:w="100"/>
              <w:left w:type="dxa" w:w="140"/>
              <w:bottom w:type="dxa" w:w="100"/>
              <w:right w:type="dxa" w:w="140"/>
            </w:tcMar>
          </w:tcPr>
          <w:p>
            <w:r>
              <w:rPr>
                <w:rFonts w:ascii="Arial" w:cs="Arial" w:eastAsia="Arial" w:hAnsi="Arial"/>
                <w:b/>
                <w:bCs/>
                <w:color w:val="1A3C5C"/>
                <w:sz w:val="20"/>
                <w:szCs w:val="20"/>
              </w:rPr>
              <w:t xml:space="preserve">Fix Applied</w:t>
            </w:r>
          </w:p>
        </w:tc>
        <w:tc>
          <w:tcPr>
            <w:tcW w:type="dxa" w:w="7360"/>
            <w:tcBorders>
              <w:top w:val="single" w:color="D0D0D0" w:sz="1"/>
              <w:left w:val="single" w:color="D0D0D0" w:sz="1"/>
              <w:bottom w:val="single" w:color="D0D0D0" w:sz="1"/>
              <w:right w:val="single" w:color="D0D0D0" w:sz="1"/>
            </w:tcBorders>
            <w:shd w:fill="FAFAFA" w:val="clear"/>
            <w:tcMar>
              <w:top w:type="dxa" w:w="100"/>
              <w:left w:type="dxa" w:w="140"/>
              <w:bottom w:type="dxa" w:w="100"/>
              <w:right w:type="dxa" w:w="140"/>
            </w:tcMar>
          </w:tcPr>
          <w:p>
            <w:r>
              <w:rPr>
                <w:rFonts w:ascii="Arial" w:cs="Arial" w:eastAsia="Arial" w:hAnsi="Arial"/>
                <w:sz w:val="20"/>
                <w:szCs w:val="20"/>
              </w:rPr>
              <w:t xml:space="preserve">Added three new const declarations to Scope Generator (the last Code node before the AI agents): attributeSummary, attributeData, and microSegments, each reading from the pre-loop nodes. These values are forwarded in the return object. All downstream AI Agent prompts now reference $('Scope Generator').first().json.attributeSummary instead of $('Save Standardized Data').first().json.summary — keeping references within the post-loop execution context.</w:t>
            </w:r>
          </w:p>
        </w:tc>
      </w:tr>
      <w:tr>
        <w:tc>
          <w:tcPr>
            <w:tcW w:type="dxa" w:w="2000"/>
            <w:tcBorders>
              <w:top w:val="single" w:color="D0D0D0" w:sz="1"/>
              <w:left w:val="single" w:color="D0D0D0" w:sz="1"/>
              <w:bottom w:val="single" w:color="D0D0D0" w:sz="1"/>
              <w:right w:val="single" w:color="D0D0D0" w:sz="1"/>
            </w:tcBorders>
            <w:shd w:fill="D6E8F5" w:val="clear"/>
            <w:tcMar>
              <w:top w:type="dxa" w:w="100"/>
              <w:left w:type="dxa" w:w="140"/>
              <w:bottom w:type="dxa" w:w="100"/>
              <w:right w:type="dxa" w:w="140"/>
            </w:tcMar>
          </w:tcPr>
          <w:p>
            <w:r>
              <w:rPr>
                <w:rFonts w:ascii="Arial" w:cs="Arial" w:eastAsia="Arial" w:hAnsi="Arial"/>
                <w:b/>
                <w:bCs/>
                <w:color w:val="1A3C5C"/>
                <w:sz w:val="20"/>
                <w:szCs w:val="20"/>
              </w:rPr>
              <w:t xml:space="preserve">Prevention / Key Takeaway</w:t>
            </w:r>
          </w:p>
        </w:tc>
        <w:tc>
          <w:tcPr>
            <w:tcW w:type="dxa" w:w="7360"/>
            <w:tcBorders>
              <w:top w:val="single" w:color="D0D0D0" w:sz="1"/>
              <w:left w:val="single" w:color="D0D0D0" w:sz="1"/>
              <w:bottom w:val="single" w:color="D0D0D0" w:sz="1"/>
              <w:right w:val="single" w:color="D0D0D0" w:sz="1"/>
            </w:tcBorders>
            <w:shd w:fill="FFFFFF" w:val="clear"/>
            <w:tcMar>
              <w:top w:type="dxa" w:w="100"/>
              <w:left w:type="dxa" w:w="140"/>
              <w:bottom w:type="dxa" w:w="100"/>
              <w:right w:type="dxa" w:w="140"/>
            </w:tcMar>
          </w:tcPr>
          <w:p>
            <w:r>
              <w:rPr>
                <w:rFonts w:ascii="Arial" w:cs="Arial" w:eastAsia="Arial" w:hAnsi="Arial"/>
                <w:sz w:val="20"/>
                <w:szCs w:val="20"/>
              </w:rPr>
              <w:t xml:space="preserve">After any loop + aggregation pattern (Split Items → loop nodes → $input.all()), always forward required pre-loop data through the first post-loop Code node. Never reference pre-loop nodes directly inside AI Agent prompt expressions that sit downstream of an aggregator. Five agents required the same fix: Executive Summary Generator, Market Research Generator, Attribute Generator, Risks Generator, and Recommendations Generator.</w:t>
            </w:r>
          </w:p>
        </w:tc>
      </w:tr>
      <w:tr>
        <w:tc>
          <w:tcPr>
            <w:tcW w:type="dxa" w:w="9360"/>
            <w:gridSpan w:val="2"/>
            <w:tcBorders>
              <w:top w:val="single" w:color="D0D0D0" w:sz="1"/>
              <w:left w:val="single" w:color="D0D0D0" w:sz="1"/>
              <w:bottom w:val="single" w:color="D0D0D0" w:sz="1"/>
              <w:right w:val="single" w:color="D0D0D0" w:sz="1"/>
            </w:tcBorders>
            <w:shd w:fill="F0F0F0" w:val="clear"/>
            <w:tcMar>
              <w:top w:type="dxa" w:w="90"/>
              <w:left w:type="dxa" w:w="140"/>
              <w:bottom w:type="dxa" w:w="90"/>
              <w:right w:type="dxa" w:w="140"/>
            </w:tcMar>
          </w:tcPr>
          <w:p>
            <w:pPr>
              <w:jc w:val="right"/>
            </w:pPr>
            <w:r>
              <w:rPr>
                <w:rFonts w:ascii="Arial" w:cs="Arial" w:eastAsia="Arial" w:hAnsi="Arial"/>
                <w:b/>
                <w:bCs/>
                <w:color w:val="555555"/>
                <w:sz w:val="19"/>
                <w:szCs w:val="19"/>
              </w:rPr>
              <w:t xml:space="preserve">Status: </w:t>
            </w:r>
            <w:r>
              <w:rPr>
                <w:rFonts w:ascii="Arial" w:cs="Arial" w:eastAsia="Arial" w:hAnsi="Arial"/>
                <w:b/>
                <w:bCs/>
                <w:color w:val="27AE60"/>
                <w:sz w:val="19"/>
                <w:szCs w:val="19"/>
              </w:rPr>
              <w:t xml:space="preserve">● RESOLVED</w:t>
            </w:r>
          </w:p>
        </w:tc>
      </w:tr>
    </w:tbl>
    <w:p>
      <w:pPr>
        <w:spacing w:after="360"/>
      </w:pPr>
      <w:r>
        <w:t xml:space="preserve"/>
      </w:r>
    </w:p>
    <w:p>
      <w:pPr>
        <w:pStyle w:val="Heading2"/>
        <w:spacing w:after="160" w:before="320"/>
      </w:pPr>
      <w:r>
        <w:rPr>
          <w:rFonts w:ascii="Arial" w:cs="Arial" w:eastAsia="Arial" w:hAnsi="Arial"/>
          <w:b/>
          <w:bCs/>
          <w:color w:val="2E6DA4"/>
          <w:sz w:val="26"/>
          <w:szCs w:val="26"/>
        </w:rPr>
        <w:t xml:space="preserve">ERR-002  —  Gemini API 2.5 Flash — 503 Service Unavailable</w:t>
      </w:r>
    </w:p>
    <w:p>
      <w:pPr>
        <w:spacing w:after="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7360"/>
      </w:tblGrid>
      <w:tr>
        <w:tc>
          <w:tcPr>
            <w:tcW w:type="dxa" w:w="9360"/>
            <w:gridSpan w:val="2"/>
            <w:tcBorders>
              <w:top w:val="single" w:color="D0D0D0" w:sz="1"/>
              <w:left w:val="single" w:color="D0D0D0" w:sz="1"/>
              <w:bottom w:val="single" w:color="D0D0D0" w:sz="1"/>
              <w:right w:val="single" w:color="D0D0D0" w:sz="1"/>
            </w:tcBorders>
            <w:shd w:fill="1A3C5C" w:val="clear"/>
            <w:tcMar>
              <w:top w:type="dxa" w:w="120"/>
              <w:left w:type="dxa" w:w="140"/>
              <w:bottom w:type="dxa" w:w="120"/>
              <w:right w:type="dxa" w:w="140"/>
            </w:tcMar>
          </w:tcPr>
          <w:p>
            <w:r>
              <w:rPr>
                <w:rFonts w:ascii="Arial" w:cs="Arial" w:eastAsia="Arial" w:hAnsi="Arial"/>
                <w:b/>
                <w:bCs/>
                <w:color w:val="7FB3D3"/>
                <w:sz w:val="22"/>
                <w:szCs w:val="22"/>
              </w:rPr>
              <w:t xml:space="preserve">[ERR-002]  </w:t>
            </w:r>
            <w:r>
              <w:rPr>
                <w:rFonts w:ascii="Arial" w:cs="Arial" w:eastAsia="Arial" w:hAnsi="Arial"/>
                <w:b/>
                <w:bCs/>
                <w:color w:val="FFFFFF"/>
                <w:sz w:val="22"/>
                <w:szCs w:val="22"/>
              </w:rPr>
              <w:t xml:space="preserve">Gemini API 2.5 Flash — 503 Service Unavailable</w:t>
            </w:r>
          </w:p>
        </w:tc>
      </w:tr>
      <w:tr>
        <w:tc>
          <w:tcPr>
            <w:tcW w:type="dxa" w:w="9360"/>
            <w:gridSpan w:val="2"/>
            <w:tcBorders>
              <w:top w:val="single" w:color="D0D0D0" w:sz="1"/>
              <w:left w:val="single" w:color="D0D0D0" w:sz="1"/>
              <w:bottom w:val="single" w:color="D0D0D0" w:sz="1"/>
              <w:right w:val="single" w:color="D0D0D0" w:sz="1"/>
            </w:tcBorders>
            <w:shd w:fill="EBF2F8" w:val="clear"/>
            <w:tcMar>
              <w:top w:type="dxa" w:w="80"/>
              <w:left w:type="dxa" w:w="140"/>
              <w:bottom w:type="dxa" w:w="80"/>
              <w:right w:type="dxa" w:w="140"/>
            </w:tcMar>
          </w:tcPr>
          <w:p>
            <w:r>
              <w:rPr>
                <w:rFonts w:ascii="Arial" w:cs="Arial" w:eastAsia="Arial" w:hAnsi="Arial"/>
                <w:b/>
                <w:bCs/>
                <w:color w:val="555555"/>
                <w:sz w:val="19"/>
                <w:szCs w:val="19"/>
              </w:rPr>
              <w:t xml:space="preserve">Date: </w:t>
            </w:r>
            <w:r>
              <w:rPr>
                <w:rFonts w:ascii="Arial" w:cs="Arial" w:eastAsia="Arial" w:hAnsi="Arial"/>
                <w:color w:val="333333"/>
                <w:sz w:val="19"/>
                <w:szCs w:val="19"/>
              </w:rPr>
              <w:t xml:space="preserve">May 2026     </w:t>
            </w:r>
            <w:r>
              <w:rPr>
                <w:rFonts w:ascii="Arial" w:cs="Arial" w:eastAsia="Arial" w:hAnsi="Arial"/>
                <w:b/>
                <w:bCs/>
                <w:color w:val="555555"/>
                <w:sz w:val="19"/>
                <w:szCs w:val="19"/>
              </w:rPr>
              <w:t xml:space="preserve">Project: </w:t>
            </w:r>
            <w:r>
              <w:rPr>
                <w:rFonts w:ascii="Arial" w:cs="Arial" w:eastAsia="Arial" w:hAnsi="Arial"/>
                <w:color w:val="333333"/>
                <w:sz w:val="19"/>
                <w:szCs w:val="19"/>
              </w:rPr>
              <w:t xml:space="preserve">Project 02 — Market Trend Discovery Agent     </w:t>
            </w:r>
            <w:r>
              <w:rPr>
                <w:rFonts w:ascii="Arial" w:cs="Arial" w:eastAsia="Arial" w:hAnsi="Arial"/>
                <w:b/>
                <w:bCs/>
                <w:color w:val="555555"/>
                <w:sz w:val="19"/>
                <w:szCs w:val="19"/>
              </w:rPr>
              <w:t xml:space="preserve">Node/Component: </w:t>
            </w:r>
            <w:r>
              <w:rPr>
                <w:rFonts w:ascii="Arial" w:cs="Arial" w:eastAsia="Arial" w:hAnsi="Arial"/>
                <w:color w:val="333333"/>
                <w:sz w:val="19"/>
                <w:szCs w:val="19"/>
              </w:rPr>
              <w:t xml:space="preserve">Market Research Generator / Report Generation Agents (Google Gemini)     </w:t>
            </w:r>
            <w:r>
              <w:rPr>
                <w:rFonts w:ascii="Arial" w:cs="Arial" w:eastAsia="Arial" w:hAnsi="Arial"/>
                <w:b/>
                <w:bCs/>
                <w:color w:val="555555"/>
                <w:sz w:val="19"/>
                <w:szCs w:val="19"/>
              </w:rPr>
              <w:t xml:space="preserve">Severity: </w:t>
            </w:r>
            <w:r>
              <w:rPr>
                <w:rFonts w:ascii="Arial" w:cs="Arial" w:eastAsia="Arial" w:hAnsi="Arial"/>
                <w:b/>
                <w:bCs/>
                <w:color w:val="E67E22"/>
                <w:sz w:val="19"/>
                <w:szCs w:val="19"/>
              </w:rPr>
              <w:t xml:space="preserve">MEDIUM</w:t>
            </w:r>
          </w:p>
        </w:tc>
      </w:tr>
      <w:tr>
        <w:tc>
          <w:tcPr>
            <w:tcW w:type="dxa" w:w="2000"/>
            <w:tcBorders>
              <w:top w:val="single" w:color="D0D0D0" w:sz="1"/>
              <w:left w:val="single" w:color="D0D0D0" w:sz="1"/>
              <w:bottom w:val="single" w:color="D0D0D0" w:sz="1"/>
              <w:right w:val="single" w:color="D0D0D0" w:sz="1"/>
            </w:tcBorders>
            <w:shd w:fill="D6E8F5" w:val="clear"/>
            <w:tcMar>
              <w:top w:type="dxa" w:w="100"/>
              <w:left w:type="dxa" w:w="140"/>
              <w:bottom w:type="dxa" w:w="100"/>
              <w:right w:type="dxa" w:w="140"/>
            </w:tcMar>
          </w:tcPr>
          <w:p>
            <w:r>
              <w:rPr>
                <w:rFonts w:ascii="Arial" w:cs="Arial" w:eastAsia="Arial" w:hAnsi="Arial"/>
                <w:b/>
                <w:bCs/>
                <w:color w:val="1A3C5C"/>
                <w:sz w:val="20"/>
                <w:szCs w:val="20"/>
              </w:rPr>
              <w:t xml:space="preserve">Symptom / Error Message</w:t>
            </w:r>
          </w:p>
        </w:tc>
        <w:tc>
          <w:tcPr>
            <w:tcW w:type="dxa" w:w="7360"/>
            <w:tcBorders>
              <w:top w:val="single" w:color="D0D0D0" w:sz="1"/>
              <w:left w:val="single" w:color="D0D0D0" w:sz="1"/>
              <w:bottom w:val="single" w:color="D0D0D0" w:sz="1"/>
              <w:right w:val="single" w:color="D0D0D0" w:sz="1"/>
            </w:tcBorders>
            <w:shd w:fill="FAFAFA" w:val="clear"/>
            <w:tcMar>
              <w:top w:type="dxa" w:w="100"/>
              <w:left w:type="dxa" w:w="140"/>
              <w:bottom w:type="dxa" w:w="100"/>
              <w:right w:type="dxa" w:w="140"/>
            </w:tcMar>
          </w:tcPr>
          <w:p>
            <w:r>
              <w:rPr>
                <w:rFonts w:ascii="Arial" w:cs="Arial" w:eastAsia="Arial" w:hAnsi="Arial"/>
                <w:sz w:val="20"/>
                <w:szCs w:val="20"/>
              </w:rPr>
              <w:t xml:space="preserve">503 Service Unavailable response returned from the Gemini API during report generation. The workflow halted at whichever Gemini agent node was executing at the time. Error is intermittent and not related to workflow logic or API key validity.</w:t>
            </w:r>
          </w:p>
        </w:tc>
      </w:tr>
      <w:tr>
        <w:tc>
          <w:tcPr>
            <w:tcW w:type="dxa" w:w="2000"/>
            <w:tcBorders>
              <w:top w:val="single" w:color="D0D0D0" w:sz="1"/>
              <w:left w:val="single" w:color="D0D0D0" w:sz="1"/>
              <w:bottom w:val="single" w:color="D0D0D0" w:sz="1"/>
              <w:right w:val="single" w:color="D0D0D0" w:sz="1"/>
            </w:tcBorders>
            <w:shd w:fill="D6E8F5" w:val="clear"/>
            <w:tcMar>
              <w:top w:type="dxa" w:w="100"/>
              <w:left w:type="dxa" w:w="140"/>
              <w:bottom w:type="dxa" w:w="100"/>
              <w:right w:type="dxa" w:w="140"/>
            </w:tcMar>
          </w:tcPr>
          <w:p>
            <w:r>
              <w:rPr>
                <w:rFonts w:ascii="Arial" w:cs="Arial" w:eastAsia="Arial" w:hAnsi="Arial"/>
                <w:b/>
                <w:bCs/>
                <w:color w:val="1A3C5C"/>
                <w:sz w:val="20"/>
                <w:szCs w:val="20"/>
              </w:rPr>
              <w:t xml:space="preserve">Root Cause</w:t>
            </w:r>
          </w:p>
        </w:tc>
        <w:tc>
          <w:tcPr>
            <w:tcW w:type="dxa" w:w="7360"/>
            <w:tcBorders>
              <w:top w:val="single" w:color="D0D0D0" w:sz="1"/>
              <w:left w:val="single" w:color="D0D0D0" w:sz="1"/>
              <w:bottom w:val="single" w:color="D0D0D0" w:sz="1"/>
              <w:right w:val="single" w:color="D0D0D0" w:sz="1"/>
            </w:tcBorders>
            <w:shd w:fill="FFFFFF" w:val="clear"/>
            <w:tcMar>
              <w:top w:type="dxa" w:w="100"/>
              <w:left w:type="dxa" w:w="140"/>
              <w:bottom w:type="dxa" w:w="100"/>
              <w:right w:type="dxa" w:w="140"/>
            </w:tcMar>
          </w:tcPr>
          <w:p>
            <w:r>
              <w:rPr>
                <w:rFonts w:ascii="Arial" w:cs="Arial" w:eastAsia="Arial" w:hAnsi="Arial"/>
                <w:sz w:val="20"/>
                <w:szCs w:val="20"/>
              </w:rPr>
              <w:t xml:space="preserve">High demand on Google's Gemini 2.5 Flash and Pro endpoints. The 503 is a server-side overload signal — a known, recurring issue reported widely by developers across paid and free tiers. Gemini 2.5 models also have thinking enabled by default, increasing per-request compute and making them more susceptible to overload during peak periods.</w:t>
            </w:r>
          </w:p>
        </w:tc>
      </w:tr>
      <w:tr>
        <w:tc>
          <w:tcPr>
            <w:tcW w:type="dxa" w:w="2000"/>
            <w:tcBorders>
              <w:top w:val="single" w:color="D0D0D0" w:sz="1"/>
              <w:left w:val="single" w:color="D0D0D0" w:sz="1"/>
              <w:bottom w:val="single" w:color="D0D0D0" w:sz="1"/>
              <w:right w:val="single" w:color="D0D0D0" w:sz="1"/>
            </w:tcBorders>
            <w:shd w:fill="D6E8F5" w:val="clear"/>
            <w:tcMar>
              <w:top w:type="dxa" w:w="100"/>
              <w:left w:type="dxa" w:w="140"/>
              <w:bottom w:type="dxa" w:w="100"/>
              <w:right w:type="dxa" w:w="140"/>
            </w:tcMar>
          </w:tcPr>
          <w:p>
            <w:r>
              <w:rPr>
                <w:rFonts w:ascii="Arial" w:cs="Arial" w:eastAsia="Arial" w:hAnsi="Arial"/>
                <w:b/>
                <w:bCs/>
                <w:color w:val="1A3C5C"/>
                <w:sz w:val="20"/>
                <w:szCs w:val="20"/>
              </w:rPr>
              <w:t xml:space="preserve">Fix Applied</w:t>
            </w:r>
          </w:p>
        </w:tc>
        <w:tc>
          <w:tcPr>
            <w:tcW w:type="dxa" w:w="7360"/>
            <w:tcBorders>
              <w:top w:val="single" w:color="D0D0D0" w:sz="1"/>
              <w:left w:val="single" w:color="D0D0D0" w:sz="1"/>
              <w:bottom w:val="single" w:color="D0D0D0" w:sz="1"/>
              <w:right w:val="single" w:color="D0D0D0" w:sz="1"/>
            </w:tcBorders>
            <w:shd w:fill="FAFAFA" w:val="clear"/>
            <w:tcMar>
              <w:top w:type="dxa" w:w="100"/>
              <w:left w:type="dxa" w:w="140"/>
              <w:bottom w:type="dxa" w:w="100"/>
              <w:right w:type="dxa" w:w="140"/>
            </w:tcMar>
          </w:tcPr>
          <w:p>
            <w:r>
              <w:rPr>
                <w:rFonts w:ascii="Arial" w:cs="Arial" w:eastAsia="Arial" w:hAnsi="Arial"/>
                <w:sz w:val="20"/>
                <w:szCs w:val="20"/>
              </w:rPr>
              <w:t xml:space="preserve">Short-term: retried the workflow manually after a brief wait and it succeeded. Recommended fix: enable 'Retry On Fail' (3–5 attempts, 2–5s delay) on all eight Gemini AI Agent nodes in the n8n node settings panel. For non-reasoning sections (Scope, Sizing, Recommendations), consider switching to gemini-2.5-flash-lite to reduce load pressure.</w:t>
            </w:r>
          </w:p>
        </w:tc>
      </w:tr>
      <w:tr>
        <w:tc>
          <w:tcPr>
            <w:tcW w:type="dxa" w:w="2000"/>
            <w:tcBorders>
              <w:top w:val="single" w:color="D0D0D0" w:sz="1"/>
              <w:left w:val="single" w:color="D0D0D0" w:sz="1"/>
              <w:bottom w:val="single" w:color="D0D0D0" w:sz="1"/>
              <w:right w:val="single" w:color="D0D0D0" w:sz="1"/>
            </w:tcBorders>
            <w:shd w:fill="D6E8F5" w:val="clear"/>
            <w:tcMar>
              <w:top w:type="dxa" w:w="100"/>
              <w:left w:type="dxa" w:w="140"/>
              <w:bottom w:type="dxa" w:w="100"/>
              <w:right w:type="dxa" w:w="140"/>
            </w:tcMar>
          </w:tcPr>
          <w:p>
            <w:r>
              <w:rPr>
                <w:rFonts w:ascii="Arial" w:cs="Arial" w:eastAsia="Arial" w:hAnsi="Arial"/>
                <w:b/>
                <w:bCs/>
                <w:color w:val="1A3C5C"/>
                <w:sz w:val="20"/>
                <w:szCs w:val="20"/>
              </w:rPr>
              <w:t xml:space="preserve">Prevention / Key Takeaway</w:t>
            </w:r>
          </w:p>
        </w:tc>
        <w:tc>
          <w:tcPr>
            <w:tcW w:type="dxa" w:w="7360"/>
            <w:tcBorders>
              <w:top w:val="single" w:color="D0D0D0" w:sz="1"/>
              <w:left w:val="single" w:color="D0D0D0" w:sz="1"/>
              <w:bottom w:val="single" w:color="D0D0D0" w:sz="1"/>
              <w:right w:val="single" w:color="D0D0D0" w:sz="1"/>
            </w:tcBorders>
            <w:shd w:fill="FFFFFF" w:val="clear"/>
            <w:tcMar>
              <w:top w:type="dxa" w:w="100"/>
              <w:left w:type="dxa" w:w="140"/>
              <w:bottom w:type="dxa" w:w="100"/>
              <w:right w:type="dxa" w:w="140"/>
            </w:tcMar>
          </w:tcPr>
          <w:p>
            <w:r>
              <w:rPr>
                <w:rFonts w:ascii="Arial" w:cs="Arial" w:eastAsia="Arial" w:hAnsi="Arial"/>
                <w:sz w:val="20"/>
                <w:szCs w:val="20"/>
              </w:rPr>
              <w:t xml:space="preserve">Always add retry logic to any external API node in n8n — especially LLM providers. Use n8n's built-in Retry On Fail setting as a first line of defense before building custom error branches. Reserve heavier models (2.5 Flash / Pro) for agents that genuinely need deep reasoning; use lighter variants everywhere else to reduce 503 exposure.</w:t>
            </w:r>
          </w:p>
        </w:tc>
      </w:tr>
      <w:tr>
        <w:tc>
          <w:tcPr>
            <w:tcW w:type="dxa" w:w="9360"/>
            <w:gridSpan w:val="2"/>
            <w:tcBorders>
              <w:top w:val="single" w:color="D0D0D0" w:sz="1"/>
              <w:left w:val="single" w:color="D0D0D0" w:sz="1"/>
              <w:bottom w:val="single" w:color="D0D0D0" w:sz="1"/>
              <w:right w:val="single" w:color="D0D0D0" w:sz="1"/>
            </w:tcBorders>
            <w:shd w:fill="F0F0F0" w:val="clear"/>
            <w:tcMar>
              <w:top w:type="dxa" w:w="90"/>
              <w:left w:type="dxa" w:w="140"/>
              <w:bottom w:type="dxa" w:w="90"/>
              <w:right w:type="dxa" w:w="140"/>
            </w:tcMar>
          </w:tcPr>
          <w:p>
            <w:pPr>
              <w:jc w:val="right"/>
            </w:pPr>
            <w:r>
              <w:rPr>
                <w:rFonts w:ascii="Arial" w:cs="Arial" w:eastAsia="Arial" w:hAnsi="Arial"/>
                <w:b/>
                <w:bCs/>
                <w:color w:val="555555"/>
                <w:sz w:val="19"/>
                <w:szCs w:val="19"/>
              </w:rPr>
              <w:t xml:space="preserve">Status: </w:t>
            </w:r>
            <w:r>
              <w:rPr>
                <w:rFonts w:ascii="Arial" w:cs="Arial" w:eastAsia="Arial" w:hAnsi="Arial"/>
                <w:b/>
                <w:bCs/>
                <w:color w:val="27AE60"/>
                <w:sz w:val="19"/>
                <w:szCs w:val="19"/>
              </w:rPr>
              <w:t xml:space="preserve">● RESOLVED</w:t>
            </w:r>
          </w:p>
        </w:tc>
      </w:tr>
    </w:tbl>
    <w:p>
      <w:pPr>
        <w:spacing w:after="120"/>
      </w:pPr>
      <w:r>
        <w:t xml:space="preserve"/>
      </w:r>
    </w:p>
    <w:p>
      <w:pPr>
        <w:pBdr>
          <w:top w:val="single" w:color="1A3C5C" w:sz="6" w:space="1"/>
        </w:pBdr>
        <w:spacing w:after="240" w:before="120"/>
      </w:pPr>
      <w:r>
        <w:t xml:space="preserve"/>
      </w:r>
    </w:p>
    <w:p>
      <w:pPr>
        <w:pStyle w:val="Heading1"/>
        <w:pBdr>
          <w:bottom w:val="single" w:color="1A3C5C" w:sz="6" w:space="1"/>
        </w:pBdr>
        <w:spacing w:after="200" w:before="360"/>
      </w:pPr>
      <w:r>
        <w:rPr>
          <w:rFonts w:ascii="Arial" w:cs="Arial" w:eastAsia="Arial" w:hAnsi="Arial"/>
          <w:b/>
          <w:bCs/>
          <w:color w:val="1A3C5C"/>
          <w:sz w:val="32"/>
          <w:szCs w:val="32"/>
        </w:rPr>
        <w:t xml:space="preserve">Patterns &amp; Principles</w:t>
      </w:r>
    </w:p>
    <w:p>
      <w:pPr>
        <w:spacing w:after="100"/>
      </w:pPr>
      <w:r>
        <w:rPr>
          <w:rFonts w:ascii="Arial" w:cs="Arial" w:eastAsia="Arial" w:hAnsi="Arial"/>
          <w:sz w:val="20"/>
          <w:szCs w:val="20"/>
        </w:rPr>
        <w:t xml:space="preserve">As errors accumulate, update this section with recurring patterns and the general rules they reveal.</w:t>
      </w:r>
    </w:p>
    <w:p>
      <w:pPr>
        <w:spacing w:after="80"/>
      </w:pPr>
      <w:r>
        <w:t xml:space="preserve"/>
      </w:r>
    </w:p>
    <w:p>
      <w:pPr>
        <w:spacing w:after="100"/>
      </w:pPr>
      <w:r>
        <w:rPr>
          <w:rFonts w:ascii="Arial" w:cs="Arial" w:eastAsia="Arial" w:hAnsi="Arial"/>
          <w:b/>
          <w:bCs/>
          <w:sz w:val="20"/>
          <w:szCs w:val="20"/>
        </w:rPr>
        <w:t xml:space="preserve">n8n execution context</w:t>
      </w:r>
    </w:p>
    <w:p>
      <w:pPr>
        <w:pStyle w:val="ListParagraph"/>
        <w:numPr>
          <w:ilvl w:val="0"/>
          <w:numId w:val="2"/>
        </w:numPr>
        <w:spacing w:after="80"/>
      </w:pPr>
      <w:r>
        <w:rPr>
          <w:rFonts w:ascii="Arial" w:cs="Arial" w:eastAsia="Arial" w:hAnsi="Arial"/>
          <w:sz w:val="20"/>
          <w:szCs w:val="20"/>
        </w:rPr>
        <w:t xml:space="preserve">After any $input.all() aggregation, treat the downstream context as a clean slate. Always forward needed pre-loop data through the first post-loop Code node — never rely on AI Agent prompt expressions to reach back across an aggregation boundary.</w:t>
      </w:r>
    </w:p>
    <w:p>
      <w:pPr>
        <w:spacing w:after="80"/>
      </w:pPr>
      <w:r>
        <w:t xml:space="preserve"/>
      </w:r>
    </w:p>
    <w:p>
      <w:pPr>
        <w:spacing w:after="100"/>
      </w:pPr>
      <w:r>
        <w:rPr>
          <w:rFonts w:ascii="Arial" w:cs="Arial" w:eastAsia="Arial" w:hAnsi="Arial"/>
          <w:b/>
          <w:bCs/>
          <w:sz w:val="20"/>
          <w:szCs w:val="20"/>
        </w:rPr>
        <w:t xml:space="preserve">External API reliability</w:t>
      </w:r>
    </w:p>
    <w:p>
      <w:pPr>
        <w:pStyle w:val="ListParagraph"/>
        <w:numPr>
          <w:ilvl w:val="0"/>
          <w:numId w:val="2"/>
        </w:numPr>
        <w:spacing w:after="80"/>
      </w:pPr>
      <w:r>
        <w:rPr>
          <w:rFonts w:ascii="Arial" w:cs="Arial" w:eastAsia="Arial" w:hAnsi="Arial"/>
          <w:sz w:val="20"/>
          <w:szCs w:val="20"/>
        </w:rPr>
        <w:t xml:space="preserve">Every external API call (Gemini, Mistral, HuggingFace, Extern) is a failure point. Add Retry On Fail to all of them. Reserve heavy models for tasks that need them; use lighter variants everywhere else.</w:t>
      </w:r>
    </w:p>
    <w:p>
      <w:pPr>
        <w:spacing w:after="80"/>
      </w:pPr>
      <w:r>
        <w:t xml:space="preserve"/>
      </w:r>
    </w:p>
    <w:p>
      <w:pPr>
        <w:spacing w:after="100"/>
      </w:pPr>
      <w:r>
        <w:rPr>
          <w:rFonts w:ascii="Arial" w:cs="Arial" w:eastAsia="Arial" w:hAnsi="Arial"/>
          <w:b/>
          <w:bCs/>
          <w:sz w:val="20"/>
          <w:szCs w:val="20"/>
        </w:rPr>
        <w:t xml:space="preserve">Debugging strategy</w:t>
      </w:r>
    </w:p>
    <w:p>
      <w:pPr>
        <w:pStyle w:val="ListParagraph"/>
        <w:numPr>
          <w:ilvl w:val="0"/>
          <w:numId w:val="2"/>
        </w:numPr>
        <w:spacing w:after="80"/>
      </w:pPr>
      <w:r>
        <w:rPr>
          <w:rFonts w:ascii="Arial" w:cs="Arial" w:eastAsia="Arial" w:hAnsi="Arial"/>
          <w:sz w:val="20"/>
          <w:szCs w:val="20"/>
        </w:rPr>
        <w:t xml:space="preserve">When n8n says a node 'is not found' in an expression, the node almost always exists — the question is whether it's reachable from the current item's execution context. Trace backward from the failing node and look for any merge, aggregation, or split that might have reset the context.</w:t>
      </w:r>
    </w:p>
    <w:p>
      <w:pPr>
        <w:spacing w:after="200"/>
      </w:pPr>
      <w:r>
        <w:t xml:space="preserve"/>
      </w:r>
    </w:p>
    <w:p>
      <w:pPr>
        <w:jc w:val="center"/>
      </w:pPr>
      <w:r>
        <w:rPr>
          <w:rFonts w:ascii="Arial" w:cs="Arial" w:eastAsia="Arial" w:hAnsi="Arial"/>
          <w:color w:val="AAAAAA"/>
          <w:sz w:val="18"/>
          <w:szCs w:val="18"/>
        </w:rPr>
        <w:t xml:space="preserve">Wayfair AI Automation Externship  ·  Extern  ·  May 2026</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60"/>
      <w:outlineLvl w:val="0"/>
    </w:pPr>
    <w:rPr>
      <w:rFonts w:ascii="Arial" w:cs="Arial" w:eastAsia="Arial" w:hAnsi="Arial"/>
      <w:b/>
      <w:bCs/>
      <w:color w:val="1A3C5C"/>
      <w:sz w:val="32"/>
      <w:szCs w:val="32"/>
    </w:rPr>
  </w:style>
  <w:style w:type="paragraph" w:styleId="Heading2">
    <w:name w:val="Heading 2"/>
    <w:basedOn w:val="Normal"/>
    <w:next w:val="Normal"/>
    <w:qFormat/>
    <w:pPr>
      <w:spacing w:after="160" w:before="320"/>
      <w:outlineLvl w:val="1"/>
    </w:pPr>
    <w:rPr>
      <w:rFonts w:ascii="Arial" w:cs="Arial" w:eastAsia="Arial" w:hAnsi="Arial"/>
      <w:b/>
      <w:bCs/>
      <w:color w:val="2E6DA4"/>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2026-05-15T17:24:24.392Z</dcterms:created>
  <dcterms:modified xsi:type="dcterms:W3CDTF">2026-05-15T17:24:24.392Z</dcterms:modified>
</cp:coreProperties>
</file>

<file path=docProps/custom.xml><?xml version="1.0" encoding="utf-8"?>
<Properties xmlns="http://schemas.openxmlformats.org/officeDocument/2006/custom-properties" xmlns:vt="http://schemas.openxmlformats.org/officeDocument/2006/docPropsVTypes"/>
</file>