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5E1A6E"/>
          <w:sz w:val="48"/>
          <w:szCs w:val="48"/>
        </w:rPr>
        <w:t xml:space="preserve">Project 04: Content Strategy Agent Improvements</w:t>
      </w:r>
    </w:p>
    <w:p>
      <w:pPr>
        <w:spacing w:after="60" w:before="0"/>
      </w:pPr>
      <w:r>
        <w:rPr>
          <w:rFonts w:ascii="Arial" w:cs="Arial" w:eastAsia="Arial" w:hAnsi="Arial"/>
          <w:color w:val="5F5E5A"/>
          <w:sz w:val="26"/>
          <w:szCs w:val="26"/>
        </w:rPr>
        <w:t xml:space="preserve">AI Insights &amp; Content Agent  |  Enhancement Planning Document</w:t>
      </w:r>
    </w:p>
    <w:p>
      <w:pPr>
        <w:spacing w:after="60" w:before="0"/>
      </w:pPr>
      <w:r>
        <w:rPr>
          <w:rFonts w:ascii="Arial" w:cs="Arial" w:eastAsia="Arial" w:hAnsi="Arial"/>
          <w:b/>
          <w:bCs/>
          <w:color w:val="2C2C2A"/>
          <w:sz w:val="22"/>
          <w:szCs w:val="22"/>
        </w:rPr>
        <w:t xml:space="preserve">Externship: </w:t>
      </w:r>
      <w:r>
        <w:rPr>
          <w:rFonts w:ascii="Arial" w:cs="Arial" w:eastAsia="Arial" w:hAnsi="Arial"/>
          <w:color w:val="5F5E5A"/>
          <w:sz w:val="22"/>
          <w:szCs w:val="22"/>
        </w:rPr>
        <w:t xml:space="preserve">Wayfair AI Automation via Extern</w:t>
      </w:r>
      <w:r>
        <w:rPr>
          <w:rFonts w:ascii="Arial" w:cs="Arial" w:eastAsia="Arial" w:hAnsi="Arial"/>
          <w:color w:val="D3D1C7"/>
          <w:sz w:val="22"/>
          <w:szCs w:val="22"/>
        </w:rPr>
        <w:t xml:space="preserve">    |    </w:t>
      </w:r>
      <w:r>
        <w:rPr>
          <w:rFonts w:ascii="Arial" w:cs="Arial" w:eastAsia="Arial" w:hAnsi="Arial"/>
          <w:b/>
          <w:bCs/>
          <w:color w:val="2C2C2A"/>
          <w:sz w:val="22"/>
          <w:szCs w:val="22"/>
        </w:rPr>
        <w:t xml:space="preserve">Category: </w:t>
      </w:r>
      <w:r>
        <w:rPr>
          <w:rFonts w:ascii="Arial" w:cs="Arial" w:eastAsia="Arial" w:hAnsi="Arial"/>
          <w:color w:val="5F5E5A"/>
          <w:sz w:val="22"/>
          <w:szCs w:val="22"/>
        </w:rPr>
        <w:t xml:space="preserve">Area Rugs</w:t>
      </w:r>
      <w:r>
        <w:rPr>
          <w:rFonts w:ascii="Arial" w:cs="Arial" w:eastAsia="Arial" w:hAnsi="Arial"/>
          <w:color w:val="D3D1C7"/>
          <w:sz w:val="22"/>
          <w:szCs w:val="22"/>
        </w:rPr>
        <w:t xml:space="preserve">    |    </w:t>
      </w:r>
      <w:r>
        <w:rPr>
          <w:rFonts w:ascii="Arial" w:cs="Arial" w:eastAsia="Arial" w:hAnsi="Arial"/>
          <w:b/>
          <w:bCs/>
          <w:color w:val="2C2C2A"/>
          <w:sz w:val="22"/>
          <w:szCs w:val="22"/>
        </w:rPr>
        <w:t xml:space="preserve">Date: </w:t>
      </w:r>
      <w:r>
        <w:rPr>
          <w:rFonts w:ascii="Arial" w:cs="Arial" w:eastAsia="Arial" w:hAnsi="Arial"/>
          <w:color w:val="5F5E5A"/>
          <w:sz w:val="22"/>
          <w:szCs w:val="22"/>
        </w:rPr>
        <w:t xml:space="preserve">May 2026</w:t>
      </w:r>
    </w:p>
    <w:p>
      <w:pPr>
        <w:pBdr>
          <w:bottom w:val="single" w:color="5E1A6E" w:sz="8" w:space="1"/>
        </w:pBdr>
      </w:pPr>
    </w:p>
    <w:p>
      <w:pPr>
        <w:spacing w:after="80" w:before="120"/>
      </w:pPr>
    </w:p>
    <w:p>
      <w:pPr>
        <w:pStyle w:val="Heading1"/>
      </w:pPr>
      <w:r>
        <w:rPr>
          <w:rFonts w:ascii="Arial" w:cs="Arial" w:eastAsia="Arial" w:hAnsi="Arial"/>
          <w:b/>
          <w:bCs/>
          <w:color w:val="5E1A6E"/>
          <w:sz w:val="32"/>
          <w:szCs w:val="32"/>
        </w:rPr>
        <w:t xml:space="preserve">Overview</w:t>
      </w:r>
    </w:p>
    <w:p>
      <w:pPr>
        <w:spacing w:after="60" w:before="60"/>
      </w:pPr>
      <w:r>
        <w:rPr>
          <w:rFonts w:ascii="Arial" w:cs="Arial" w:eastAsia="Arial" w:hAnsi="Arial"/>
          <w:color w:val="2C2C2A"/>
          <w:sz w:val="22"/>
          <w:szCs w:val="22"/>
        </w:rPr>
        <w:t xml:space="preserve">This document serves as the planning and improvement log for Project 04 of the Wayfair AI Automation Externship. Project 04 focuses on inheriting and enhancing a pre-built AI Insights &amp; Content Agent — transforming raw market and competitor intelligence from Projects 02 and 03 into actionable marketing content for Wayfair's team.</w:t>
      </w:r>
    </w:p>
    <w:p>
      <w:pPr>
        <w:spacing w:after="40" w:before="40"/>
      </w:pPr>
    </w:p>
    <w:p>
      <w:pPr>
        <w:spacing w:after="60" w:before="60"/>
      </w:pPr>
      <w:r>
        <w:rPr>
          <w:rFonts w:ascii="Arial" w:cs="Arial" w:eastAsia="Arial" w:hAnsi="Arial"/>
          <w:color w:val="2C2C2A"/>
          <w:sz w:val="22"/>
          <w:szCs w:val="22"/>
        </w:rPr>
        <w:t xml:space="preserve">The core business question driving all enhancements is: What should Wayfair DO about it? Every improvement documented here is evaluated against whether it moves the output closer to content a real marketing team could use without rewriting it from scratch.</w:t>
      </w:r>
    </w:p>
    <w:p>
      <w:pPr>
        <w:spacing w:after="40" w:before="40"/>
      </w:pPr>
    </w:p>
    <w:p>
      <w:pPr>
        <w:spacing w:after="60" w:before="60"/>
      </w:pPr>
      <w:r>
        <w:rPr>
          <w:rFonts w:ascii="Arial" w:cs="Arial" w:eastAsia="Arial" w:hAnsi="Arial"/>
          <w:color w:val="2C2C2A"/>
          <w:sz w:val="22"/>
          <w:szCs w:val="22"/>
        </w:rPr>
        <w:t xml:space="preserve">Improvements are organized into three enhancement tracks, prioritized by business impact:</w:t>
      </w:r>
    </w:p>
    <w:p>
      <w:pPr>
        <w:pStyle w:val="ListParagraph"/>
        <w:numPr>
          <w:ilvl w:val="0"/>
          <w:numId w:val="2"/>
        </w:numPr>
        <w:spacing w:after="40" w:before="40"/>
      </w:pPr>
      <w:r>
        <w:rPr>
          <w:rFonts w:ascii="Arial" w:cs="Arial" w:eastAsia="Arial" w:hAnsi="Arial"/>
          <w:color w:val="2C2C2A"/>
          <w:sz w:val="22"/>
          <w:szCs w:val="22"/>
        </w:rPr>
        <w:t xml:space="preserve">Track 1 — Voice: Make the agent sound like Wayfair, not like a language model writing about Wayfair.</w:t>
      </w:r>
    </w:p>
    <w:p>
      <w:pPr>
        <w:pStyle w:val="ListParagraph"/>
        <w:numPr>
          <w:ilvl w:val="0"/>
          <w:numId w:val="2"/>
        </w:numPr>
        <w:spacing w:after="40" w:before="40"/>
      </w:pPr>
      <w:r>
        <w:rPr>
          <w:rFonts w:ascii="Arial" w:cs="Arial" w:eastAsia="Arial" w:hAnsi="Arial"/>
          <w:color w:val="2C2C2A"/>
          <w:sz w:val="22"/>
          <w:szCs w:val="22"/>
        </w:rPr>
        <w:t xml:space="preserve">Track 2 — Content Types: Expand the output surface with new formats and actual draft content.</w:t>
      </w:r>
    </w:p>
    <w:p>
      <w:pPr>
        <w:pStyle w:val="ListParagraph"/>
        <w:numPr>
          <w:ilvl w:val="0"/>
          <w:numId w:val="2"/>
        </w:numPr>
        <w:spacing w:after="40" w:before="40"/>
      </w:pPr>
      <w:r>
        <w:rPr>
          <w:rFonts w:ascii="Arial" w:cs="Arial" w:eastAsia="Arial" w:hAnsi="Arial"/>
          <w:color w:val="2C2C2A"/>
          <w:sz w:val="22"/>
          <w:szCs w:val="22"/>
        </w:rPr>
        <w:t xml:space="preserve">Track 3 — Data Inputs: Ground outputs in real P02/P03 findings, not hardcoded example values.</w:t>
      </w:r>
    </w:p>
    <w:p>
      <w:pPr>
        <w:spacing w:after="80" w:before="80"/>
      </w:pPr>
    </w:p>
    <w:p>
      <w:pPr>
        <w:pStyle w:val="Heading1"/>
      </w:pPr>
      <w:r>
        <w:rPr>
          <w:rFonts w:ascii="Arial" w:cs="Arial" w:eastAsia="Arial" w:hAnsi="Arial"/>
          <w:b/>
          <w:bCs/>
          <w:color w:val="5E1A6E"/>
          <w:sz w:val="32"/>
          <w:szCs w:val="32"/>
        </w:rPr>
        <w:t xml:space="preserve">Existing Agent — Debrief</w:t>
      </w:r>
    </w:p>
    <w:p>
      <w:pPr>
        <w:spacing w:after="60" w:before="60"/>
      </w:pPr>
      <w:r>
        <w:rPr>
          <w:rFonts w:ascii="Arial" w:cs="Arial" w:eastAsia="Arial" w:hAnsi="Arial"/>
          <w:color w:val="2C2C2A"/>
          <w:sz w:val="22"/>
          <w:szCs w:val="22"/>
        </w:rPr>
        <w:t xml:space="preserve">The pre-built agent ingests Area Rug trend and competitor reports (P02, P03 HTML outputs) and generates an 8-section content strategy report. Before planning improvements, the following table summarizes what the existing agent does well versus where it falls short.</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What works (pros)</w:t>
            </w:r>
          </w:p>
        </w:tc>
        <w:tc>
          <w:tcPr>
            <w:tcW w:type="dxa" w:w="4680"/>
            <w:tcBorders>
              <w:top w:val="single" w:color="CCCCCC" w:sz="1"/>
              <w:left w:val="single" w:color="CCCCCC" w:sz="1"/>
              <w:bottom w:val="single" w:color="CCCCCC" w:sz="1"/>
              <w:right w:val="single" w:color="CCCCCC" w:sz="1"/>
            </w:tcBorders>
            <w:shd w:fill="A32D2D" w:val="clear"/>
            <w:tcMar>
              <w:top w:type="dxa" w:w="80"/>
              <w:left w:type="dxa" w:w="140"/>
              <w:bottom w:type="dxa" w:w="80"/>
              <w:right w:type="dxa" w:w="140"/>
            </w:tcMar>
          </w:tcPr>
          <w:p>
            <w:r>
              <w:rPr>
                <w:rFonts w:ascii="Arial" w:cs="Arial" w:eastAsia="Arial" w:hAnsi="Arial"/>
                <w:b/>
                <w:bCs/>
                <w:color w:val="FFFFFF"/>
                <w:sz w:val="22"/>
                <w:szCs w:val="22"/>
              </w:rPr>
              <w:t xml:space="preserve">What falls short (cons)</w:t>
            </w:r>
          </w:p>
        </w:tc>
      </w:tr>
      <w:tr>
        <w:tc>
          <w:tcPr>
            <w:tcW w:type="dxa" w:w="4680"/>
            <w:tcBorders>
              <w:top w:val="single" w:color="CCCCCC" w:sz="1"/>
              <w:left w:val="single" w:color="CCCCCC" w:sz="1"/>
              <w:bottom w:val="single" w:color="CCCCCC" w:sz="1"/>
              <w:right w:val="single" w:color="CCCCCC" w:sz="1"/>
            </w:tcBorders>
            <w:shd w:fill="EAF3DE" w:val="clear"/>
            <w:tcMar>
              <w:top w:type="dxa" w:w="80"/>
              <w:left w:type="dxa" w:w="140"/>
              <w:bottom w:type="dxa" w:w="80"/>
              <w:right w:type="dxa" w:w="140"/>
            </w:tcMar>
          </w:tcPr>
          <w:p>
            <w:r>
              <w:rPr>
                <w:rFonts w:ascii="Arial" w:cs="Arial" w:eastAsia="Arial" w:hAnsi="Arial"/>
                <w:color w:val="3B6D11"/>
                <w:sz w:val="20"/>
                <w:szCs w:val="20"/>
              </w:rPr>
              <w:t xml:space="preserve">Clear 8-section report structure — scope, summary, ideas, social, campaigns, email, competitive angles, priorities</w:t>
            </w:r>
          </w:p>
        </w:tc>
        <w:tc>
          <w:tcPr>
            <w:tcW w:type="dxa" w:w="46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color w:val="A32D2D"/>
                <w:sz w:val="20"/>
                <w:szCs w:val="20"/>
              </w:rPr>
              <w:t xml:space="preserve">Outputs titles and brief descriptions only — no actual draft copy a team could publish</w:t>
            </w:r>
          </w:p>
        </w:tc>
      </w:tr>
      <w:tr>
        <w:tc>
          <w:tcPr>
            <w:tcW w:type="dxa" w:w="4680"/>
            <w:tcBorders>
              <w:top w:val="single" w:color="CCCCCC" w:sz="1"/>
              <w:left w:val="single" w:color="CCCCCC" w:sz="1"/>
              <w:bottom w:val="single" w:color="CCCCCC" w:sz="1"/>
              <w:right w:val="single" w:color="CCCCCC" w:sz="1"/>
            </w:tcBorders>
            <w:shd w:fill="EAF3DE" w:val="clear"/>
            <w:tcMar>
              <w:top w:type="dxa" w:w="80"/>
              <w:left w:type="dxa" w:w="140"/>
              <w:bottom w:type="dxa" w:w="80"/>
              <w:right w:type="dxa" w:w="140"/>
            </w:tcMar>
          </w:tcPr>
          <w:p>
            <w:r>
              <w:rPr>
                <w:rFonts w:ascii="Arial" w:cs="Arial" w:eastAsia="Arial" w:hAnsi="Arial"/>
                <w:color w:val="3B6D11"/>
                <w:sz w:val="20"/>
                <w:szCs w:val="20"/>
              </w:rPr>
              <w:t xml:space="preserve">Data-grounded sections reference specific metrics (YoY growth, price sweet spot, eco-search percentage)</w:t>
            </w:r>
          </w:p>
        </w:tc>
        <w:tc>
          <w:tcPr>
            <w:tcW w:type="dxa" w:w="46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color w:val="A32D2D"/>
                <w:sz w:val="20"/>
                <w:szCs w:val="20"/>
              </w:rPr>
              <w:t xml:space="preserve">Metrics appear to mirror hardcoded example values from the prompt schema rather than extracting from real P02/P03 data</w:t>
            </w:r>
          </w:p>
        </w:tc>
      </w:tr>
      <w:tr>
        <w:tc>
          <w:tcPr>
            <w:tcW w:type="dxa" w:w="4680"/>
            <w:tcBorders>
              <w:top w:val="single" w:color="CCCCCC" w:sz="1"/>
              <w:left w:val="single" w:color="CCCCCC" w:sz="1"/>
              <w:bottom w:val="single" w:color="CCCCCC" w:sz="1"/>
              <w:right w:val="single" w:color="CCCCCC" w:sz="1"/>
            </w:tcBorders>
            <w:shd w:fill="EAF3DE" w:val="clear"/>
            <w:tcMar>
              <w:top w:type="dxa" w:w="80"/>
              <w:left w:type="dxa" w:w="140"/>
              <w:bottom w:type="dxa" w:w="80"/>
              <w:right w:type="dxa" w:w="140"/>
            </w:tcMar>
          </w:tcPr>
          <w:p>
            <w:r>
              <w:rPr>
                <w:rFonts w:ascii="Arial" w:cs="Arial" w:eastAsia="Arial" w:hAnsi="Arial"/>
                <w:color w:val="3B6D11"/>
                <w:sz w:val="20"/>
                <w:szCs w:val="20"/>
              </w:rPr>
              <w:t xml:space="preserve">Covers 5 content channels: blog, Instagram, Pinterest, Facebook, TikTok</w:t>
            </w:r>
          </w:p>
        </w:tc>
        <w:tc>
          <w:tcPr>
            <w:tcW w:type="dxa" w:w="46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color w:val="A32D2D"/>
                <w:sz w:val="20"/>
                <w:szCs w:val="20"/>
              </w:rPr>
              <w:t xml:space="preserve">Social captions lead with statistics instead of lifestyle/room-first framing — misaligned with Wayfair voice</w:t>
            </w:r>
          </w:p>
        </w:tc>
      </w:tr>
      <w:tr>
        <w:tc>
          <w:tcPr>
            <w:tcW w:type="dxa" w:w="4680"/>
            <w:tcBorders>
              <w:top w:val="single" w:color="CCCCCC" w:sz="1"/>
              <w:left w:val="single" w:color="CCCCCC" w:sz="1"/>
              <w:bottom w:val="single" w:color="CCCCCC" w:sz="1"/>
              <w:right w:val="single" w:color="CCCCCC" w:sz="1"/>
            </w:tcBorders>
            <w:shd w:fill="EAF3DE" w:val="clear"/>
            <w:tcMar>
              <w:top w:type="dxa" w:w="80"/>
              <w:left w:type="dxa" w:w="140"/>
              <w:bottom w:type="dxa" w:w="80"/>
              <w:right w:type="dxa" w:w="140"/>
            </w:tcMar>
          </w:tcPr>
          <w:p>
            <w:r>
              <w:rPr>
                <w:rFonts w:ascii="Arial" w:cs="Arial" w:eastAsia="Arial" w:hAnsi="Arial"/>
                <w:color w:val="3B6D11"/>
                <w:sz w:val="20"/>
                <w:szCs w:val="20"/>
              </w:rPr>
              <w:t xml:space="preserve">3 campaign concepts with taglines, descriptions, and structured detail cards</w:t>
            </w:r>
          </w:p>
        </w:tc>
        <w:tc>
          <w:tcPr>
            <w:tcW w:type="dxa" w:w="46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color w:val="A32D2D"/>
                <w:sz w:val="20"/>
                <w:szCs w:val="20"/>
              </w:rPr>
              <w:t xml:space="preserve">Campaigns have no copy assets — no headline options, no hero copy, no CTA lines for execution</w:t>
            </w:r>
          </w:p>
        </w:tc>
      </w:tr>
      <w:tr>
        <w:tc>
          <w:tcPr>
            <w:tcW w:type="dxa" w:w="4680"/>
            <w:tcBorders>
              <w:top w:val="single" w:color="CCCCCC" w:sz="1"/>
              <w:left w:val="single" w:color="CCCCCC" w:sz="1"/>
              <w:bottom w:val="single" w:color="CCCCCC" w:sz="1"/>
              <w:right w:val="single" w:color="CCCCCC" w:sz="1"/>
            </w:tcBorders>
            <w:shd w:fill="EAF3DE" w:val="clear"/>
            <w:tcMar>
              <w:top w:type="dxa" w:w="80"/>
              <w:left w:type="dxa" w:w="140"/>
              <w:bottom w:type="dxa" w:w="80"/>
              <w:right w:type="dxa" w:w="140"/>
            </w:tcMar>
          </w:tcPr>
          <w:p>
            <w:r>
              <w:rPr>
                <w:rFonts w:ascii="Arial" w:cs="Arial" w:eastAsia="Arial" w:hAnsi="Arial"/>
                <w:color w:val="3B6D11"/>
                <w:sz w:val="20"/>
                <w:szCs w:val="20"/>
              </w:rPr>
              <w:t xml:space="preserve">Competitive content angles section directly ties content to P03 gaps</w:t>
            </w:r>
          </w:p>
        </w:tc>
        <w:tc>
          <w:tcPr>
            <w:tcW w:type="dxa" w:w="46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color w:val="A32D2D"/>
                <w:sz w:val="20"/>
                <w:szCs w:val="20"/>
              </w:rPr>
              <w:t xml:space="preserve">P02 micro-segments (Organic Modern Neutral, Textured Minimalist Sculptural, Bohemian Global Geometric) are entirely absent — all content defaults to one generic theme</w:t>
            </w:r>
          </w:p>
        </w:tc>
      </w:tr>
      <w:tr>
        <w:tc>
          <w:tcPr>
            <w:tcW w:type="dxa" w:w="4680"/>
            <w:tcBorders>
              <w:top w:val="single" w:color="CCCCCC" w:sz="1"/>
              <w:left w:val="single" w:color="CCCCCC" w:sz="1"/>
              <w:bottom w:val="single" w:color="CCCCCC" w:sz="1"/>
              <w:right w:val="single" w:color="CCCCCC" w:sz="1"/>
            </w:tcBorders>
            <w:shd w:fill="EAF3DE" w:val="clear"/>
            <w:tcMar>
              <w:top w:type="dxa" w:w="80"/>
              <w:left w:type="dxa" w:w="140"/>
              <w:bottom w:type="dxa" w:w="80"/>
              <w:right w:type="dxa" w:w="140"/>
            </w:tcMar>
          </w:tcPr>
          <w:p>
            <w:r>
              <w:rPr>
                <w:rFonts w:ascii="Arial" w:cs="Arial" w:eastAsia="Arial" w:hAnsi="Arial"/>
                <w:color w:val="3B6D11"/>
                <w:sz w:val="20"/>
                <w:szCs w:val="20"/>
              </w:rPr>
              <w:t xml:space="preserve">Responsive HTML report design, visually polished and well-organized</w:t>
            </w:r>
          </w:p>
        </w:tc>
        <w:tc>
          <w:tcPr>
            <w:tcW w:type="dxa" w:w="46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color w:val="A32D2D"/>
                <w:sz w:val="20"/>
                <w:szCs w:val="20"/>
              </w:rPr>
              <w:t xml:space="preserve">Email open rate estimates (Est. High / Est. Medium) have no supporting rationale or scoring rubric</w:t>
            </w:r>
          </w:p>
        </w:tc>
      </w:tr>
      <w:tr>
        <w:tc>
          <w:tcPr>
            <w:tcW w:type="dxa" w:w="4680"/>
            <w:tcBorders>
              <w:top w:val="single" w:color="CCCCCC" w:sz="1"/>
              <w:left w:val="single" w:color="CCCCCC" w:sz="1"/>
              <w:bottom w:val="single" w:color="CCCCCC" w:sz="1"/>
              <w:right w:val="single" w:color="CCCCCC" w:sz="1"/>
            </w:tcBorders>
            <w:shd w:fill="EAF3DE" w:val="clear"/>
            <w:tcMar>
              <w:top w:type="dxa" w:w="80"/>
              <w:left w:type="dxa" w:w="140"/>
              <w:bottom w:type="dxa" w:w="80"/>
              <w:right w:type="dxa" w:w="140"/>
            </w:tcMar>
          </w:tcPr>
          <w:p>
            <w:r>
              <w:rPr>
                <w:rFonts w:ascii="Arial" w:cs="Arial" w:eastAsia="Arial" w:hAnsi="Arial"/>
                <w:color w:val="3B6D11"/>
                <w:sz w:val="20"/>
                <w:szCs w:val="20"/>
              </w:rPr>
              <w:t xml:space="preserve">TikTok included as a content type — shows awareness of platform diversity</w:t>
            </w:r>
          </w:p>
        </w:tc>
        <w:tc>
          <w:tcPr>
            <w:tcW w:type="dxa" w:w="46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color w:val="A32D2D"/>
                <w:sz w:val="20"/>
                <w:szCs w:val="20"/>
              </w:rPr>
              <w:t xml:space="preserve">TikTok section provides a vague hook line only — no actual script structure (hook, body beats, CTA)</w:t>
            </w:r>
          </w:p>
        </w:tc>
      </w:tr>
    </w:tbl>
    <w:p>
      <w:pPr>
        <w:spacing w:after="80" w:before="80"/>
      </w:pPr>
    </w:p>
    <w:p>
      <w:pPr>
        <w:pBdr>
          <w:bottom w:val="single" w:color="D3D1C7" w:sz="8" w:space="1"/>
        </w:pBdr>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6F4" w:val="clear"/>
            <w:tcMar>
              <w:top w:type="dxa" w:w="100"/>
              <w:left w:type="dxa" w:w="200"/>
              <w:bottom w:type="dxa" w:w="100"/>
              <w:right w:type="dxa" w:w="200"/>
            </w:tcMar>
          </w:tcPr>
          <w:p>
            <w:pPr>
              <w:jc w:val="left"/>
            </w:pPr>
            <w:r>
              <w:rPr>
                <w:rFonts w:ascii="Arial" w:cs="Arial" w:eastAsia="Arial" w:hAnsi="Arial"/>
                <w:b/>
                <w:bCs/>
                <w:color w:val="5E1A6E"/>
                <w:sz w:val="24"/>
                <w:szCs w:val="24"/>
              </w:rPr>
              <w:t xml:space="preserve">Track 1 — Voice</w:t>
            </w:r>
          </w:p>
        </w:tc>
      </w:tr>
    </w:tbl>
    <w:p>
      <w:pPr>
        <w:spacing w:after="40" w:before="60"/>
      </w:pPr>
    </w:p>
    <w:p>
      <w:pPr>
        <w:pStyle w:val="Heading1"/>
      </w:pPr>
      <w:r>
        <w:rPr>
          <w:rFonts w:ascii="Arial" w:cs="Arial" w:eastAsia="Arial" w:hAnsi="Arial"/>
          <w:b/>
          <w:bCs/>
          <w:color w:val="5E1A6E"/>
          <w:sz w:val="32"/>
          <w:szCs w:val="32"/>
        </w:rPr>
        <w:t xml:space="preserve">Track 1: Voice</w:t>
      </w:r>
    </w:p>
    <w:p>
      <w:pPr>
        <w:spacing w:after="60" w:before="60"/>
      </w:pPr>
      <w:r>
        <w:rPr>
          <w:rFonts w:ascii="Arial" w:cs="Arial" w:eastAsia="Arial" w:hAnsi="Arial"/>
          <w:color w:val="2C2C2A"/>
          <w:sz w:val="22"/>
          <w:szCs w:val="22"/>
        </w:rPr>
        <w:t xml:space="preserve">The most impactful single improvement is making the agent write like Wayfair, not like a generic content generator. Wayfair's brand voice is warm, design-editorial, and room-first — it speaks to how a space will feel before it mentions what a product is made of. The current agent inverts this: it leads with data and describes products before evoking any aspiration.</w:t>
      </w:r>
    </w:p>
    <w:p>
      <w:pPr>
        <w:spacing w:after="40" w:before="40"/>
      </w:pPr>
    </w:p>
    <w:p>
      <w:pPr>
        <w:spacing w:after="60" w:before="60"/>
      </w:pPr>
      <w:r>
        <w:rPr>
          <w:rFonts w:ascii="Arial" w:cs="Arial" w:eastAsia="Arial" w:hAnsi="Arial"/>
          <w:color w:val="2C2C2A"/>
          <w:sz w:val="22"/>
          <w:szCs w:val="22"/>
        </w:rPr>
        <w:t xml:space="preserve">This is fundamentally a system prompt engineering problem. The prompt never tells the model what Wayfair's voice sounds like, and it has no negative constraints preventing it from defaulting to lazy patterns like opening with statistics or using cliches like 'Did you know' and 'POV: ...'</w:t>
      </w:r>
    </w:p>
    <w:p>
      <w:pPr>
        <w:spacing w:after="80" w:before="60"/>
      </w:pPr>
    </w:p>
    <w:p>
      <w:pPr>
        <w:pStyle w:val="Heading2"/>
      </w:pPr>
      <w:r>
        <w:rPr>
          <w:rFonts w:ascii="Arial" w:cs="Arial" w:eastAsia="Arial" w:hAnsi="Arial"/>
          <w:b/>
          <w:bCs/>
          <w:color w:val="2C2C2A"/>
          <w:sz w:val="26"/>
          <w:szCs w:val="26"/>
        </w:rPr>
        <w:t xml:space="preserve">Voice audit — sample output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200"/>
        <w:gridCol w:w="1880"/>
      </w:tblGrid>
      <w:tr>
        <w:tc>
          <w:tcPr>
            <w:tcW w:type="dxa" w:w="2200"/>
            <w:tcBorders>
              <w:top w:val="single" w:color="CCCCCC" w:sz="1"/>
              <w:left w:val="single" w:color="CCCCCC" w:sz="1"/>
              <w:bottom w:val="single" w:color="CCCCCC" w:sz="1"/>
              <w:right w:val="single" w:color="CCCCCC" w:sz="1"/>
            </w:tcBorders>
            <w:shd w:fill="5E1A6E" w:val="clear"/>
            <w:tcMar>
              <w:top w:type="dxa" w:w="80"/>
              <w:left w:type="dxa" w:w="140"/>
              <w:bottom w:type="dxa" w:w="80"/>
              <w:right w:type="dxa" w:w="140"/>
            </w:tcMar>
          </w:tcPr>
          <w:p>
            <w:r>
              <w:rPr>
                <w:rFonts w:ascii="Arial" w:cs="Arial" w:eastAsia="Arial" w:hAnsi="Arial"/>
                <w:b/>
                <w:bCs/>
                <w:color w:val="FFFFFF"/>
                <w:sz w:val="20"/>
                <w:szCs w:val="20"/>
              </w:rPr>
              <w:t xml:space="preserve">Output section</w:t>
            </w:r>
          </w:p>
        </w:tc>
        <w:tc>
          <w:tcPr>
            <w:tcW w:type="dxa" w:w="3080"/>
            <w:tcBorders>
              <w:top w:val="single" w:color="CCCCCC" w:sz="1"/>
              <w:left w:val="single" w:color="CCCCCC" w:sz="1"/>
              <w:bottom w:val="single" w:color="CCCCCC" w:sz="1"/>
              <w:right w:val="single" w:color="CCCCCC" w:sz="1"/>
            </w:tcBorders>
            <w:shd w:fill="5E1A6E" w:val="clear"/>
            <w:tcMar>
              <w:top w:type="dxa" w:w="80"/>
              <w:left w:type="dxa" w:w="140"/>
              <w:bottom w:type="dxa" w:w="80"/>
              <w:right w:type="dxa" w:w="140"/>
            </w:tcMar>
          </w:tcPr>
          <w:p>
            <w:r>
              <w:rPr>
                <w:rFonts w:ascii="Arial" w:cs="Arial" w:eastAsia="Arial" w:hAnsi="Arial"/>
                <w:b/>
                <w:bCs/>
                <w:color w:val="FFFFFF"/>
                <w:sz w:val="20"/>
                <w:szCs w:val="20"/>
              </w:rPr>
              <w:t xml:space="preserve">Current agent output (sample)</w:t>
            </w:r>
          </w:p>
        </w:tc>
        <w:tc>
          <w:tcPr>
            <w:tcW w:type="dxa" w:w="2200"/>
            <w:tcBorders>
              <w:top w:val="single" w:color="CCCCCC" w:sz="1"/>
              <w:left w:val="single" w:color="CCCCCC" w:sz="1"/>
              <w:bottom w:val="single" w:color="CCCCCC" w:sz="1"/>
              <w:right w:val="single" w:color="CCCCCC" w:sz="1"/>
            </w:tcBorders>
            <w:shd w:fill="5E1A6E" w:val="clear"/>
            <w:tcMar>
              <w:top w:type="dxa" w:w="80"/>
              <w:left w:type="dxa" w:w="140"/>
              <w:bottom w:type="dxa" w:w="80"/>
              <w:right w:type="dxa" w:w="140"/>
            </w:tcMar>
          </w:tcPr>
          <w:p>
            <w:r>
              <w:rPr>
                <w:rFonts w:ascii="Arial" w:cs="Arial" w:eastAsia="Arial" w:hAnsi="Arial"/>
                <w:b/>
                <w:bCs/>
                <w:color w:val="FFFFFF"/>
                <w:sz w:val="20"/>
                <w:szCs w:val="20"/>
              </w:rPr>
              <w:t xml:space="preserve">Voice issue</w:t>
            </w:r>
          </w:p>
        </w:tc>
        <w:tc>
          <w:tcPr>
            <w:tcW w:type="dxa" w:w="1880"/>
            <w:tcBorders>
              <w:top w:val="single" w:color="CCCCCC" w:sz="1"/>
              <w:left w:val="single" w:color="CCCCCC" w:sz="1"/>
              <w:bottom w:val="single" w:color="CCCCCC" w:sz="1"/>
              <w:right w:val="single" w:color="CCCCCC" w:sz="1"/>
            </w:tcBorders>
            <w:shd w:fill="5E1A6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Instagram captions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Natural rugs are up 28% this year — and we totally get why.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Stat-first. Wayfair voice opens with a room or a feeling, not a data point.</w:t>
            </w:r>
          </w:p>
        </w:tc>
        <w:tc>
          <w:tcPr>
            <w:tcW w:type="dxa" w:w="18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Facebook caption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Did you know natural fiber rugs are up 28% this year?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Tired opener pattern. Reads like a generic content brief.</w:t>
            </w:r>
          </w:p>
        </w:tc>
        <w:tc>
          <w:tcPr>
            <w:tcW w:type="dxa" w:w="18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TikTok hook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And no, it's not what you think.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Promises a reveal but delivers a genre name — no real tension.</w:t>
            </w:r>
          </w:p>
        </w:tc>
        <w:tc>
          <w:tcPr>
            <w:tcW w:type="dxa" w:w="18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Blog idea descriptions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Deep-dive into the sustainability movement driving natural rug popularity.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Analyst summary tone. Needs an editorial hook, not a topic description.</w:t>
            </w:r>
          </w:p>
        </w:tc>
        <w:tc>
          <w:tcPr>
            <w:tcW w:type="dxa" w:w="18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Email subject lines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Your living room called. It wants a natural rug.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Better than the stat-led examples but still lacks Wayfair's warmth — feels generic casual.</w:t>
            </w:r>
          </w:p>
        </w:tc>
        <w:tc>
          <w:tcPr>
            <w:tcW w:type="dxa" w:w="188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Campaign taglines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Beautiful floors. Lighter footprint.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Decent but safety-oriented. Wayfair taglines tend to be more aspirational and sensory.</w:t>
            </w:r>
          </w:p>
        </w:tc>
        <w:tc>
          <w:tcPr>
            <w:tcW w:type="dxa" w:w="188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r>
    </w:tbl>
    <w:p>
      <w:pPr>
        <w:spacing w:after="80" w:before="80"/>
      </w:pPr>
    </w:p>
    <w:p>
      <w:pPr>
        <w:pStyle w:val="Heading2"/>
      </w:pPr>
      <w:r>
        <w:rPr>
          <w:rFonts w:ascii="Arial" w:cs="Arial" w:eastAsia="Arial" w:hAnsi="Arial"/>
          <w:b/>
          <w:bCs/>
          <w:color w:val="2C2C2A"/>
          <w:sz w:val="26"/>
          <w:szCs w:val="26"/>
        </w:rPr>
        <w:t xml:space="preserve">Voice improvements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Improvement</w:t>
            </w:r>
          </w:p>
        </w:tc>
        <w:tc>
          <w:tcPr>
            <w:tcW w:type="dxa" w:w="3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Where to implement</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Add a Wayfair brand voice reference block to the AI Content node system prompt. Include 3-4 real examples from Wayfair's blog and Instagram showing room-first, aspiration-first openers. Instruct the model: open with a scene, a feeling, or a customer problem — never a statistic.</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Edit AI Content node system prompt. Add 'Brand Voice' section with positive examples.</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Add explicit negative constraints to the prompt. Prohibit: 'Did you know', 'Fun fact:', 'POV:', stat-first openings, and corporate phrasing like 'we are pleased to'. These patterns appear in 4 of the 5 social captions in the sample output.</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Add a 'What NOT to do' section to the social caption sub-prompt.</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Differentiate tone instructions per content type. Blog posts need an editorial, authoritative voice. Instagram captions need warmth and lifestyle sensibility. TikTok scripts need direct, punchy energy. The current prompt uses one generic tone for all channels.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Split the content generation prompt into channel-specific sub-prompts, each with its own voice instruction.</w:t>
            </w:r>
          </w:p>
        </w:tc>
      </w:tr>
    </w:tbl>
    <w:p>
      <w:pPr>
        <w:spacing w:after="60" w:before="60"/>
      </w:pPr>
    </w:p>
    <w:p>
      <w:pPr>
        <w:pStyle w:val="Heading2"/>
      </w:pPr>
      <w:r>
        <w:rPr>
          <w:rFonts w:ascii="Arial" w:cs="Arial" w:eastAsia="Arial" w:hAnsi="Arial"/>
          <w:b/>
          <w:bCs/>
          <w:color w:val="2C2C2A"/>
          <w:sz w:val="26"/>
          <w:szCs w:val="26"/>
        </w:rPr>
        <w:t xml:space="preserve">Voice improvements —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Improvement</w:t>
            </w:r>
          </w:p>
        </w:tc>
        <w:tc>
          <w:tcPr>
            <w:tcW w:type="dxa" w:w="3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Where to implement</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Study Wayfair blog (wayfair.com/ideas-and-advice) and @wayfair Instagram before finalizing voice instructions. Extract 5-8 real examples of opening lines, CTAs, and product framing language to use as few-shot examples in the prompt.</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Pre-build research step — document findings before editing the node.</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Add a tone calibration field to campaign taglines. Current tagline for 'Naturally Wayfair' is functional but flat. Prompt should instruct: taglines must be sensory, evocative, or emotionally resonant — not just descriptive.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Edit campaign generator sub-prompt with tagline quality criteria.</w:t>
            </w:r>
          </w:p>
        </w:tc>
      </w:tr>
    </w:tbl>
    <w:p>
      <w:pPr>
        <w:spacing w:after="80" w:before="80"/>
      </w:pPr>
    </w:p>
    <w:p>
      <w:pPr>
        <w:pBdr>
          <w:bottom w:val="single" w:color="D3D1C7" w:sz="8" w:space="1"/>
        </w:pBdr>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left"/>
            </w:pPr>
            <w:r>
              <w:rPr>
                <w:rFonts w:ascii="Arial" w:cs="Arial" w:eastAsia="Arial" w:hAnsi="Arial"/>
                <w:b/>
                <w:bCs/>
                <w:color w:val="0F6E56"/>
                <w:sz w:val="24"/>
                <w:szCs w:val="24"/>
              </w:rPr>
              <w:t xml:space="preserve">Track 2 — Content Types</w:t>
            </w:r>
          </w:p>
        </w:tc>
      </w:tr>
    </w:tbl>
    <w:p>
      <w:pPr>
        <w:spacing w:after="40" w:before="60"/>
      </w:pPr>
    </w:p>
    <w:p>
      <w:pPr>
        <w:pStyle w:val="Heading1"/>
      </w:pPr>
      <w:r>
        <w:rPr>
          <w:rFonts w:ascii="Arial" w:cs="Arial" w:eastAsia="Arial" w:hAnsi="Arial"/>
          <w:b/>
          <w:bCs/>
          <w:color w:val="5E1A6E"/>
          <w:sz w:val="32"/>
          <w:szCs w:val="32"/>
        </w:rPr>
        <w:t xml:space="preserve">Track 2: Content Types</w:t>
      </w:r>
    </w:p>
    <w:p>
      <w:pPr>
        <w:spacing w:after="60" w:before="60"/>
      </w:pPr>
      <w:r>
        <w:rPr>
          <w:rFonts w:ascii="Arial" w:cs="Arial" w:eastAsia="Arial" w:hAnsi="Arial"/>
          <w:color w:val="2C2C2A"/>
          <w:sz w:val="22"/>
          <w:szCs w:val="22"/>
        </w:rPr>
        <w:t xml:space="preserve">The existing agent generates content briefs — it describes what content should exist, but does not produce the actual content. A marketing team receiving this output still has to do all the writing. Track 2 expands both the depth and the variety of what the agent outputs, moving from idea descriptions to actual publishable drafts.</w:t>
      </w:r>
    </w:p>
    <w:p>
      <w:pPr>
        <w:spacing w:after="80" w:before="60"/>
      </w:pPr>
    </w:p>
    <w:p>
      <w:pPr>
        <w:pStyle w:val="Heading2"/>
      </w:pPr>
      <w:r>
        <w:rPr>
          <w:rFonts w:ascii="Arial" w:cs="Arial" w:eastAsia="Arial" w:hAnsi="Arial"/>
          <w:b/>
          <w:bCs/>
          <w:color w:val="2C2C2A"/>
          <w:sz w:val="26"/>
          <w:szCs w:val="26"/>
        </w:rPr>
        <w:t xml:space="preserve">Current content type audit</w:t>
      </w:r>
    </w:p>
    <w:p>
      <w:pPr>
        <w:spacing w:after="60" w:before="60"/>
      </w:pPr>
      <w:r>
        <w:rPr>
          <w:rFonts w:ascii="Arial" w:cs="Arial" w:eastAsia="Arial" w:hAnsi="Arial"/>
          <w:color w:val="2C2C2A"/>
          <w:sz w:val="22"/>
          <w:szCs w:val="22"/>
        </w:rPr>
        <w:t xml:space="preserve">The following table maps each current content type against what it produces today versus what it should produce for a marketing team to act on it.</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80"/>
        <w:gridCol w:w="2580"/>
        <w:gridCol w:w="2500"/>
      </w:tblGrid>
      <w:tr>
        <w:tc>
          <w:tcPr>
            <w:tcW w:type="dxa" w:w="18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Content type</w:t>
            </w:r>
          </w:p>
        </w:tc>
        <w:tc>
          <w:tcPr>
            <w:tcW w:type="dxa" w:w="248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Currently outputs</w:t>
            </w:r>
          </w:p>
        </w:tc>
        <w:tc>
          <w:tcPr>
            <w:tcW w:type="dxa" w:w="258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Should output</w:t>
            </w:r>
          </w:p>
        </w:tc>
        <w:tc>
          <w:tcPr>
            <w:tcW w:type="dxa" w:w="25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Gap severity</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Blog post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Title + 2-sentence description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Title + opening paragraph (150-200 words) + SEO keywords</w:t>
            </w:r>
          </w:p>
        </w:tc>
        <w:tc>
          <w:tcPr>
            <w:tcW w:type="dxa" w:w="25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Instagram caption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Caption text + hashtags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2 caption variants per micro-segment, room-first framing</w:t>
            </w:r>
          </w:p>
        </w:tc>
        <w:tc>
          <w:tcPr>
            <w:tcW w:type="dxa" w:w="25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TikTok script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Hook line + 1-sentence summary</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Full script: hook, 3 body beats, CTA with timestamps</w:t>
            </w:r>
          </w:p>
        </w:tc>
        <w:tc>
          <w:tcPr>
            <w:tcW w:type="dxa" w:w="25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Pinterest pin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Pin title only</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Title + full description (150-300 chars) + SEO keywords</w:t>
            </w:r>
          </w:p>
        </w:tc>
        <w:tc>
          <w:tcPr>
            <w:tcW w:type="dxa" w:w="25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Campaign concept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Tagline + description + 4 detail cards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Tagline + hero copy + 2-3 headline variants + CTA line</w:t>
            </w:r>
          </w:p>
        </w:tc>
        <w:tc>
          <w:tcPr>
            <w:tcW w:type="dxa" w:w="25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Email subject lines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Subject text + unsupported open rate estimate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Subject text + rationale (curiosity gap / data hook / personalization)</w:t>
            </w:r>
          </w:p>
        </w:tc>
        <w:tc>
          <w:tcPr>
            <w:tcW w:type="dxa" w:w="25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Product spotlight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F5E5A"/>
                <w:sz w:val="19"/>
                <w:szCs w:val="19"/>
              </w:rPr>
              <w:t xml:space="preserve">Not present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2-3 sentence editorial copy per micro-segment's hero product</w:t>
            </w:r>
          </w:p>
        </w:tc>
        <w:tc>
          <w:tcPr>
            <w:tcW w:type="dxa" w:w="25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r>
    </w:tbl>
    <w:p>
      <w:pPr>
        <w:spacing w:after="80" w:before="80"/>
      </w:pPr>
    </w:p>
    <w:p>
      <w:pPr>
        <w:pStyle w:val="Heading2"/>
      </w:pPr>
      <w:r>
        <w:rPr>
          <w:rFonts w:ascii="Arial" w:cs="Arial" w:eastAsia="Arial" w:hAnsi="Arial"/>
          <w:b/>
          <w:bCs/>
          <w:color w:val="2C2C2A"/>
          <w:sz w:val="26"/>
          <w:szCs w:val="26"/>
        </w:rPr>
        <w:t xml:space="preserve">Content type improvements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Improvement</w:t>
            </w:r>
          </w:p>
        </w:tc>
        <w:tc>
          <w:tcPr>
            <w:tcW w:type="dxa" w:w="3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Where to implement</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Add a 'draft_opening' field to each blog post idea in the JSON schema. Instruct the model to write the first 150-200 words of each blog post in Wayfair's editorial voice. This is the highest-value single addition — it takes an idea from unactionable to publishable.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Edit JSON schema in the AI Content node. Add 'draft_opening' to each content_ideas item. Update Build HTML node to render it.</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Build a dedicated TikTok script block with four fields: hook (1 punchy line), beat_1 (problem or tension), beat_2 (Wayfair's angle or solution), beat_3 (product connection), and cta (soft call to action). Remove TikTok from the general social_captions object.</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Separate TikTok into its own schema key 'tiktok_scripts'. Edit AI Content node prompt and Build HTML node to render the new structure.</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Add full Pinterest pin descriptions to every content idea that has a Pinterest component. Each description should be 150-300 characters and written with SEO-forward language targeting home decor search intent. The current output includes a pin title but no description field.</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Add 'pinterest_description' field to content_ideas items that have type 'Pinterest Pin'. Update Build HTML node.</w:t>
            </w:r>
          </w:p>
        </w:tc>
      </w:tr>
    </w:tbl>
    <w:p>
      <w:pPr>
        <w:spacing w:after="60" w:before="60"/>
      </w:pPr>
    </w:p>
    <w:p>
      <w:pPr>
        <w:pStyle w:val="Heading2"/>
      </w:pPr>
      <w:r>
        <w:rPr>
          <w:rFonts w:ascii="Arial" w:cs="Arial" w:eastAsia="Arial" w:hAnsi="Arial"/>
          <w:b/>
          <w:bCs/>
          <w:color w:val="2C2C2A"/>
          <w:sz w:val="26"/>
          <w:szCs w:val="26"/>
        </w:rPr>
        <w:t xml:space="preserve">Content type improvements —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Improvement</w:t>
            </w:r>
          </w:p>
        </w:tc>
        <w:tc>
          <w:tcPr>
            <w:tcW w:type="dxa" w:w="3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Where to implement</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Add a product spotlight section to the report — 2-3 sentences of editorial copy per micro-segment's hero product, written in Wayfair's room-first voice. This bridges the gap between trend content and product page copywriting.</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Add 'product_spotlights' key to the JSON schema. Add a new generator prompt that receives micro-segment name, top product attributes, and target room.</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Replace 'Est. High Open / Est. Medium Open' email ratings with a brief rationale field. Examples: 'High: curiosity gap + data point', 'High: personalization + question format'. This makes the output defensible and educational for the marketing team.</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Edit email_subjects schema to replace 'open_rate' string with 'rationale' string. Update Build HTML rendering.</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Expand each campaign concept to include 2-3 headline variants and one hero copy block (2-sentence brand statement). The current campaign cards have good strategic structure but leave a creative writing gap between strategy and execution.</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Add 'headline_variants' array and 'hero_copy' field to each campaigns item in the schema.</w:t>
            </w:r>
          </w:p>
        </w:tc>
      </w:tr>
    </w:tbl>
    <w:p>
      <w:pPr>
        <w:spacing w:after="80" w:before="80"/>
      </w:pPr>
    </w:p>
    <w:p>
      <w:pPr>
        <w:pBdr>
          <w:bottom w:val="single" w:color="D3D1C7" w:sz="8" w:space="1"/>
        </w:pBdr>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00"/>
              <w:bottom w:type="dxa" w:w="100"/>
              <w:right w:type="dxa" w:w="200"/>
            </w:tcMar>
          </w:tcPr>
          <w:p>
            <w:pPr>
              <w:jc w:val="left"/>
            </w:pPr>
            <w:r>
              <w:rPr>
                <w:rFonts w:ascii="Arial" w:cs="Arial" w:eastAsia="Arial" w:hAnsi="Arial"/>
                <w:b/>
                <w:bCs/>
                <w:color w:val="854F0B"/>
                <w:sz w:val="24"/>
                <w:szCs w:val="24"/>
              </w:rPr>
              <w:t xml:space="preserve">Track 3 — Data Inputs</w:t>
            </w:r>
          </w:p>
        </w:tc>
      </w:tr>
    </w:tbl>
    <w:p>
      <w:pPr>
        <w:spacing w:after="40" w:before="60"/>
      </w:pPr>
    </w:p>
    <w:p>
      <w:pPr>
        <w:pStyle w:val="Heading1"/>
      </w:pPr>
      <w:r>
        <w:rPr>
          <w:rFonts w:ascii="Arial" w:cs="Arial" w:eastAsia="Arial" w:hAnsi="Arial"/>
          <w:b/>
          <w:bCs/>
          <w:color w:val="5E1A6E"/>
          <w:sz w:val="32"/>
          <w:szCs w:val="32"/>
        </w:rPr>
        <w:t xml:space="preserve">Track 3: Data Inputs</w:t>
      </w:r>
    </w:p>
    <w:p>
      <w:pPr>
        <w:spacing w:after="60" w:before="60"/>
      </w:pPr>
      <w:r>
        <w:rPr>
          <w:rFonts w:ascii="Arial" w:cs="Arial" w:eastAsia="Arial" w:hAnsi="Arial"/>
          <w:color w:val="2C2C2A"/>
          <w:sz w:val="22"/>
          <w:szCs w:val="22"/>
        </w:rPr>
        <w:t xml:space="preserve">The existing agent's outputs are only as specific as its inputs. Currently, two structural problems cause the content to feel generic despite being grounded in real reports: the prompt schema pre-fills example metric values that the model mirrors rather than replacing, and the output collapses all of P02's distinct micro-segments into one undifferentiated theme.</w:t>
      </w:r>
    </w:p>
    <w:p>
      <w:pPr>
        <w:spacing w:after="40" w:before="40"/>
      </w:pPr>
    </w:p>
    <w:p>
      <w:pPr>
        <w:spacing w:after="60" w:before="60"/>
      </w:pPr>
      <w:r>
        <w:rPr>
          <w:rFonts w:ascii="Arial" w:cs="Arial" w:eastAsia="Arial" w:hAnsi="Arial"/>
          <w:color w:val="2C2C2A"/>
          <w:sz w:val="22"/>
          <w:szCs w:val="22"/>
        </w:rPr>
        <w:t xml:space="preserve">Fixing Track 3 is what makes everything downstream more specific. Better inputs produce more targeted voice work (Track 1) and more relevant content drafts (Track 2). It is the root fix.</w:t>
      </w:r>
    </w:p>
    <w:p>
      <w:pPr>
        <w:spacing w:after="80" w:before="60"/>
      </w:pPr>
    </w:p>
    <w:p>
      <w:pPr>
        <w:pStyle w:val="Heading2"/>
      </w:pPr>
      <w:r>
        <w:rPr>
          <w:rFonts w:ascii="Arial" w:cs="Arial" w:eastAsia="Arial" w:hAnsi="Arial"/>
          <w:b/>
          <w:bCs/>
          <w:color w:val="2C2C2A"/>
          <w:sz w:val="26"/>
          <w:szCs w:val="26"/>
        </w:rPr>
        <w:t xml:space="preserve">Data input issues — audit</w:t>
      </w:r>
    </w:p>
    <w:p>
      <w:pPr>
        <w:spacing w:after="60" w:before="60"/>
      </w:pPr>
      <w:r>
        <w:rPr>
          <w:rFonts w:ascii="Arial" w:cs="Arial" w:eastAsia="Arial" w:hAnsi="Arial"/>
          <w:color w:val="2C2C2A"/>
          <w:sz w:val="22"/>
          <w:szCs w:val="22"/>
        </w:rPr>
        <w:t xml:space="preserve">The following issues were identified by comparing the sample output against the agent's prompt schema in the Google Doc and the P02 micro-segment findings.</w:t>
      </w:r>
    </w:p>
    <w:p>
      <w:pPr>
        <w:spacing w:after="60" w:before="40"/>
      </w:pPr>
    </w:p>
    <w:p>
      <w:pPr>
        <w:pStyle w:val="ListParagraph"/>
        <w:numPr>
          <w:ilvl w:val="0"/>
          <w:numId w:val="2"/>
        </w:numPr>
        <w:spacing w:after="40" w:before="40"/>
      </w:pPr>
      <w:r>
        <w:rPr>
          <w:rFonts w:ascii="Arial" w:cs="Arial" w:eastAsia="Arial" w:hAnsi="Arial"/>
          <w:b/>
          <w:bCs/>
          <w:color w:val="2C2C2A"/>
          <w:sz w:val="22"/>
          <w:szCs w:val="22"/>
        </w:rPr>
        <w:t xml:space="preserve">Issue 1: </w:t>
      </w:r>
      <w:r>
        <w:rPr>
          <w:rFonts w:ascii="Arial" w:cs="Arial" w:eastAsia="Arial" w:hAnsi="Arial"/>
          <w:color w:val="2C2C2A"/>
          <w:sz w:val="22"/>
          <w:szCs w:val="22"/>
        </w:rPr>
        <w:t xml:space="preserve">Hardcoded example metrics in the JSON schema (28%, $127-$156, 47%) anchor the model to those values. Even when real P02/P03 data is uploaded, the model mirrors the example format rather than extracting and replacing.</w:t>
      </w:r>
    </w:p>
    <w:p>
      <w:pPr>
        <w:pStyle w:val="ListParagraph"/>
        <w:numPr>
          <w:ilvl w:val="0"/>
          <w:numId w:val="2"/>
        </w:numPr>
        <w:spacing w:after="40" w:before="40"/>
      </w:pPr>
      <w:r>
        <w:rPr>
          <w:rFonts w:ascii="Arial" w:cs="Arial" w:eastAsia="Arial" w:hAnsi="Arial"/>
          <w:b/>
          <w:bCs/>
          <w:color w:val="2C2C2A"/>
          <w:sz w:val="22"/>
          <w:szCs w:val="22"/>
        </w:rPr>
        <w:t xml:space="preserve">Issue 2: </w:t>
      </w:r>
      <w:r>
        <w:rPr>
          <w:rFonts w:ascii="Arial" w:cs="Arial" w:eastAsia="Arial" w:hAnsi="Arial"/>
          <w:color w:val="2C2C2A"/>
          <w:sz w:val="22"/>
          <w:szCs w:val="22"/>
        </w:rPr>
        <w:t xml:space="preserve">None of P02's three micro-segments appear in the sample report: Organic Modern Neutral, Textured Minimalist Sculptural, and Bohemian Global Geometric. The entire content strategy defaults to 'Natural &amp; Sustainable' as if Area Rugs is a single undifferentiated category.</w:t>
      </w:r>
    </w:p>
    <w:p>
      <w:pPr>
        <w:pStyle w:val="ListParagraph"/>
        <w:numPr>
          <w:ilvl w:val="0"/>
          <w:numId w:val="2"/>
        </w:numPr>
        <w:spacing w:after="40" w:before="40"/>
      </w:pPr>
      <w:r>
        <w:rPr>
          <w:rFonts w:ascii="Arial" w:cs="Arial" w:eastAsia="Arial" w:hAnsi="Arial"/>
          <w:b/>
          <w:bCs/>
          <w:color w:val="2C2C2A"/>
          <w:sz w:val="22"/>
          <w:szCs w:val="22"/>
        </w:rPr>
        <w:t xml:space="preserve">Issue 3: </w:t>
      </w:r>
      <w:r>
        <w:rPr>
          <w:rFonts w:ascii="Arial" w:cs="Arial" w:eastAsia="Arial" w:hAnsi="Arial"/>
          <w:color w:val="2C2C2A"/>
          <w:sz w:val="22"/>
          <w:szCs w:val="22"/>
        </w:rPr>
        <w:t xml:space="preserve">P03 competitor findings are represented generically: 'Amazon dominates on price but lacks styling content' — this is a reasonable inference, not an extracted specific finding from the competitor analysis.</w:t>
      </w:r>
    </w:p>
    <w:p>
      <w:pPr>
        <w:pStyle w:val="ListParagraph"/>
        <w:numPr>
          <w:ilvl w:val="0"/>
          <w:numId w:val="2"/>
        </w:numPr>
        <w:spacing w:after="40" w:before="40"/>
      </w:pPr>
      <w:r>
        <w:rPr>
          <w:rFonts w:ascii="Arial" w:cs="Arial" w:eastAsia="Arial" w:hAnsi="Arial"/>
          <w:b/>
          <w:bCs/>
          <w:color w:val="2C2C2A"/>
          <w:sz w:val="22"/>
          <w:szCs w:val="22"/>
        </w:rPr>
        <w:t xml:space="preserve">Issue 4: </w:t>
      </w:r>
      <w:r>
        <w:rPr>
          <w:rFonts w:ascii="Arial" w:cs="Arial" w:eastAsia="Arial" w:hAnsi="Arial"/>
          <w:color w:val="2C2C2A"/>
          <w:sz w:val="22"/>
          <w:szCs w:val="22"/>
        </w:rPr>
        <w:t xml:space="preserve">The 'focus' input field narrows the entire report to one angle per run. There is no mechanism for generating content across all three micro-segments in a single pass.</w:t>
      </w:r>
    </w:p>
    <w:p>
      <w:pPr>
        <w:spacing w:after="80" w:before="60"/>
      </w:pPr>
    </w:p>
    <w:p>
      <w:pPr>
        <w:pStyle w:val="Heading2"/>
      </w:pPr>
      <w:r>
        <w:rPr>
          <w:rFonts w:ascii="Arial" w:cs="Arial" w:eastAsia="Arial" w:hAnsi="Arial"/>
          <w:b/>
          <w:bCs/>
          <w:color w:val="2C2C2A"/>
          <w:sz w:val="26"/>
          <w:szCs w:val="26"/>
        </w:rPr>
        <w:t xml:space="preserve">Data input improvements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Improvement</w:t>
            </w:r>
          </w:p>
        </w:tc>
        <w:tc>
          <w:tcPr>
            <w:tcW w:type="dxa" w:w="3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Where to implement</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Strip all example values from the JSON schema. Replace the hardcoded key_metrics example array (28%, $127-$156, 47%, 3 gaps) with an empty array and a clear instruction: 'Extract specific data points from the uploaded reports. Do not invent or estimate values. If a metric cannot be found, omit it.'</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Edit the AI Content node system prompt. Remove example values from the key_metrics schema block. Test that the model extracts real values from uploaded P02/P03 HTML.</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Pass all three P02 micro-segments as explicit input variables — name, description, color palette, target rooms, and typical price band for each. Generate at least one Instagram caption and one content idea per micro-segment, rather than collapsing all three into one generic focus area.</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Update the Extract Files node to parse micro-segment data from the P02 HTML. Pass segment objects into the AI Content prompt. Update JSON schema and HTML renderer to support per-segment content blocks.</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r>
              <w:rPr>
                <w:rFonts w:ascii="Arial" w:cs="Arial" w:eastAsia="Arial" w:hAnsi="Arial"/>
                <w:b/>
                <w:bCs/>
                <w:color w:val="A32D2D"/>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Add a competitor findings pre-processing step before the main AI Content node runs. Extract named gaps from the P03 report (specific whitespace areas, pricing deltas, feature gaps) and pass them as a structured 'competitor_gaps' object. This grounds the competitive content angles in actual findings rather than generalizations.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Add a 'Parse P03 Gaps' code node between Extract Files and AI Content. Output a structured competitor_gaps object that the content prompt references explicitly.</w:t>
            </w:r>
          </w:p>
        </w:tc>
      </w:tr>
    </w:tbl>
    <w:p>
      <w:pPr>
        <w:spacing w:after="60" w:before="60"/>
      </w:pPr>
    </w:p>
    <w:p>
      <w:pPr>
        <w:pStyle w:val="Heading2"/>
      </w:pPr>
      <w:r>
        <w:rPr>
          <w:rFonts w:ascii="Arial" w:cs="Arial" w:eastAsia="Arial" w:hAnsi="Arial"/>
          <w:b/>
          <w:bCs/>
          <w:color w:val="2C2C2A"/>
          <w:sz w:val="26"/>
          <w:szCs w:val="26"/>
        </w:rPr>
        <w:t xml:space="preserve">Data input improvements —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Improvement</w:t>
            </w:r>
          </w:p>
        </w:tc>
        <w:tc>
          <w:tcPr>
            <w:tcW w:type="dxa" w:w="3000"/>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Where to implement</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Add input validation to the Extract Files node. If the uploaded HTML does not contain expected P02 or P03 markers (micro-segment names, pricing tables, competitor sections), surface a clear error message rather than letting the model generate content from incomplete data.</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Edit Extract Files code node. Add presence checks for key data structures. Return error state to the user if critical inputs are missing.</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color w:val="854F0B"/>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Introduce a 'focus_mode' input toggle — 'single segment' vs. 'full report'. When set to single segment, the agent generates deep, channel-rich content for one named micro-segment. When set to full report, it generates one content block per segment across all channels. This gives the user control over scope vs. depth.</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20"/>
                <w:szCs w:val="20"/>
              </w:rPr>
              <w:t xml:space="preserve">Update the chat trigger input parser and route the workflow based on focus_mode. Add conditional logic in the AI Content prompt and HTML assembler.</w:t>
            </w:r>
          </w:p>
        </w:tc>
      </w:tr>
    </w:tbl>
    <w:p>
      <w:pPr>
        <w:spacing w:after="80" w:before="80"/>
      </w:pPr>
    </w:p>
    <w:p>
      <w:pPr>
        <w:pBdr>
          <w:bottom w:val="single" w:color="D3D1C7" w:sz="8" w:space="1"/>
        </w:pBdr>
      </w:pPr>
    </w:p>
    <w:p>
      <w:pPr>
        <w:spacing w:after="80" w:before="80"/>
      </w:pPr>
    </w:p>
    <w:p>
      <w:pPr>
        <w:pStyle w:val="Heading1"/>
      </w:pPr>
      <w:r>
        <w:rPr>
          <w:rFonts w:ascii="Arial" w:cs="Arial" w:eastAsia="Arial" w:hAnsi="Arial"/>
          <w:b/>
          <w:bCs/>
          <w:color w:val="5E1A6E"/>
          <w:sz w:val="32"/>
          <w:szCs w:val="32"/>
        </w:rPr>
        <w:t xml:space="preserve">Implementation Priority Summary</w:t>
      </w:r>
    </w:p>
    <w:p>
      <w:pPr>
        <w:spacing w:after="60" w:before="60"/>
      </w:pPr>
      <w:r>
        <w:rPr>
          <w:rFonts w:ascii="Arial" w:cs="Arial" w:eastAsia="Arial" w:hAnsi="Arial"/>
          <w:color w:val="2C2C2A"/>
          <w:sz w:val="22"/>
          <w:szCs w:val="22"/>
        </w:rPr>
        <w:t xml:space="preserve">The table below consolidates all improvements across all three tracks, sorted by priority. Implement in order from top to bottom — each fix compounds the value of the next.</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160"/>
        <w:gridCol w:w="3000"/>
      </w:tblGrid>
      <w:tr>
        <w:tc>
          <w:tcPr>
            <w:tcW w:type="dxa" w:w="600"/>
            <w:tcBorders>
              <w:top w:val="single" w:color="CCCCCC" w:sz="1"/>
              <w:left w:val="single" w:color="CCCCCC" w:sz="1"/>
              <w:bottom w:val="single" w:color="CCCCCC" w:sz="1"/>
              <w:right w:val="single" w:color="CCCCCC" w:sz="1"/>
            </w:tcBorders>
            <w:shd w:fill="2C2C2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2C2C2A" w:val="clear"/>
            <w:tcMar>
              <w:top w:type="dxa" w:w="80"/>
              <w:left w:type="dxa" w:w="140"/>
              <w:bottom w:type="dxa" w:w="80"/>
              <w:right w:type="dxa" w:w="140"/>
            </w:tcMar>
          </w:tcPr>
          <w:p>
            <w:r>
              <w:rPr>
                <w:rFonts w:ascii="Arial" w:cs="Arial" w:eastAsia="Arial" w:hAnsi="Arial"/>
                <w:b/>
                <w:bCs/>
                <w:color w:val="FFFFFF"/>
                <w:sz w:val="20"/>
                <w:szCs w:val="20"/>
              </w:rPr>
              <w:t xml:space="preserve">Track</w:t>
            </w:r>
          </w:p>
        </w:tc>
        <w:tc>
          <w:tcPr>
            <w:tcW w:type="dxa" w:w="4160"/>
            <w:tcBorders>
              <w:top w:val="single" w:color="CCCCCC" w:sz="1"/>
              <w:left w:val="single" w:color="CCCCCC" w:sz="1"/>
              <w:bottom w:val="single" w:color="CCCCCC" w:sz="1"/>
              <w:right w:val="single" w:color="CCCCCC" w:sz="1"/>
            </w:tcBorders>
            <w:shd w:fill="2C2C2A" w:val="clear"/>
            <w:tcMar>
              <w:top w:type="dxa" w:w="80"/>
              <w:left w:type="dxa" w:w="140"/>
              <w:bottom w:type="dxa" w:w="80"/>
              <w:right w:type="dxa" w:w="140"/>
            </w:tcMar>
          </w:tcPr>
          <w:p>
            <w:r>
              <w:rPr>
                <w:rFonts w:ascii="Arial" w:cs="Arial" w:eastAsia="Arial" w:hAnsi="Arial"/>
                <w:b/>
                <w:bCs/>
                <w:color w:val="FFFFFF"/>
                <w:sz w:val="20"/>
                <w:szCs w:val="20"/>
              </w:rPr>
              <w:t xml:space="preserve">Improvement</w:t>
            </w:r>
          </w:p>
        </w:tc>
        <w:tc>
          <w:tcPr>
            <w:tcW w:type="dxa" w:w="3000"/>
            <w:tcBorders>
              <w:top w:val="single" w:color="CCCCCC" w:sz="1"/>
              <w:left w:val="single" w:color="CCCCCC" w:sz="1"/>
              <w:bottom w:val="single" w:color="CCCCCC" w:sz="1"/>
              <w:right w:val="single" w:color="CCCCCC" w:sz="1"/>
            </w:tcBorders>
            <w:shd w:fill="2C2C2A" w:val="clear"/>
            <w:tcMar>
              <w:top w:type="dxa" w:w="80"/>
              <w:left w:type="dxa" w:w="140"/>
              <w:bottom w:type="dxa" w:w="80"/>
              <w:right w:type="dxa" w:w="140"/>
            </w:tcMar>
          </w:tcPr>
          <w:p>
            <w:r>
              <w:rPr>
                <w:rFonts w:ascii="Arial" w:cs="Arial" w:eastAsia="Arial" w:hAnsi="Arial"/>
                <w:b/>
                <w:bCs/>
                <w:color w:val="FFFFFF"/>
                <w:sz w:val="20"/>
                <w:szCs w:val="20"/>
              </w:rPr>
              <w:t xml:space="preserve">Node to change</w:t>
            </w:r>
          </w:p>
        </w:tc>
      </w:tr>
      <w:tr>
        <w:tc>
          <w:tcPr>
            <w:tcW w:type="dxa" w:w="600"/>
            <w:tcBorders>
              <w:top w:val="single" w:color="CCCCCC" w:sz="1"/>
              <w:left w:val="single" w:color="CCCCCC" w:sz="1"/>
              <w:bottom w:val="single" w:color="CCCCCC" w:sz="1"/>
              <w:right w:val="single" w:color="CCCCCC" w:sz="1"/>
            </w:tcBorders>
            <w:shd w:fill="F0E6F4" w:val="clear"/>
            <w:tcMar>
              <w:top w:type="dxa" w:w="80"/>
              <w:left w:type="dxa" w:w="140"/>
              <w:bottom w:type="dxa" w:w="80"/>
              <w:right w:type="dxa" w:w="140"/>
            </w:tcMar>
          </w:tcPr>
          <w:p>
            <w:pPr>
              <w:jc w:val="center"/>
            </w:pPr>
            <w:r>
              <w:rPr>
                <w:rFonts w:ascii="Arial" w:cs="Arial" w:eastAsia="Arial" w:hAnsi="Arial"/>
                <w:b/>
                <w:bCs/>
                <w:color w:val="5E1A6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19"/>
                <w:szCs w:val="19"/>
              </w:rPr>
              <w:t xml:space="preserve">Track 3 — Inputs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Strip hardcoded example metrics from prompt schema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19"/>
                <w:szCs w:val="19"/>
              </w:rPr>
              <w:t xml:space="preserve">AI Content node system prompt</w:t>
            </w:r>
          </w:p>
        </w:tc>
      </w:tr>
      <w:tr>
        <w:tc>
          <w:tcPr>
            <w:tcW w:type="dxa" w:w="600"/>
            <w:tcBorders>
              <w:top w:val="single" w:color="CCCCCC" w:sz="1"/>
              <w:left w:val="single" w:color="CCCCCC" w:sz="1"/>
              <w:bottom w:val="single" w:color="CCCCCC" w:sz="1"/>
              <w:right w:val="single" w:color="CCCCCC" w:sz="1"/>
            </w:tcBorders>
            <w:shd w:fill="F0E6F4" w:val="clear"/>
            <w:tcMar>
              <w:top w:type="dxa" w:w="80"/>
              <w:left w:type="dxa" w:w="140"/>
              <w:bottom w:type="dxa" w:w="80"/>
              <w:right w:type="dxa" w:w="140"/>
            </w:tcMar>
          </w:tcPr>
          <w:p>
            <w:pPr>
              <w:jc w:val="center"/>
            </w:pPr>
            <w:r>
              <w:rPr>
                <w:rFonts w:ascii="Arial" w:cs="Arial" w:eastAsia="Arial" w:hAnsi="Arial"/>
                <w:b/>
                <w:bCs/>
                <w:color w:val="5E1A6E"/>
                <w:sz w:val="20"/>
                <w:szCs w:val="20"/>
              </w:rPr>
              <w:t xml:space="preserve">2</w:t>
            </w:r>
          </w:p>
        </w:tc>
        <w:tc>
          <w:tcPr>
            <w:tcW w:type="dxa" w:w="1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19"/>
                <w:szCs w:val="19"/>
              </w:rPr>
              <w:t xml:space="preserve">Track 3 — Inputs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Pass all 3 P02 micro-segments as explicit input variables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19"/>
                <w:szCs w:val="19"/>
              </w:rPr>
              <w:t xml:space="preserve">Extract Files + AI Content nodes</w:t>
            </w:r>
          </w:p>
        </w:tc>
      </w:tr>
      <w:tr>
        <w:tc>
          <w:tcPr>
            <w:tcW w:type="dxa" w:w="600"/>
            <w:tcBorders>
              <w:top w:val="single" w:color="CCCCCC" w:sz="1"/>
              <w:left w:val="single" w:color="CCCCCC" w:sz="1"/>
              <w:bottom w:val="single" w:color="CCCCCC" w:sz="1"/>
              <w:right w:val="single" w:color="CCCCCC" w:sz="1"/>
            </w:tcBorders>
            <w:shd w:fill="F0E6F4" w:val="clear"/>
            <w:tcMar>
              <w:top w:type="dxa" w:w="80"/>
              <w:left w:type="dxa" w:w="140"/>
              <w:bottom w:type="dxa" w:w="80"/>
              <w:right w:type="dxa" w:w="140"/>
            </w:tcMar>
          </w:tcPr>
          <w:p>
            <w:pPr>
              <w:jc w:val="center"/>
            </w:pPr>
            <w:r>
              <w:rPr>
                <w:rFonts w:ascii="Arial" w:cs="Arial" w:eastAsia="Arial" w:hAnsi="Arial"/>
                <w:b/>
                <w:bCs/>
                <w:color w:val="5E1A6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19"/>
                <w:szCs w:val="19"/>
              </w:rPr>
              <w:t xml:space="preserve">Track 1 — Voice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Add Wayfair brand voice reference block with real examples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19"/>
                <w:szCs w:val="19"/>
              </w:rPr>
              <w:t xml:space="preserve">AI Content node system prompt</w:t>
            </w:r>
          </w:p>
        </w:tc>
      </w:tr>
      <w:tr>
        <w:tc>
          <w:tcPr>
            <w:tcW w:type="dxa" w:w="600"/>
            <w:tcBorders>
              <w:top w:val="single" w:color="CCCCCC" w:sz="1"/>
              <w:left w:val="single" w:color="CCCCCC" w:sz="1"/>
              <w:bottom w:val="single" w:color="CCCCCC" w:sz="1"/>
              <w:right w:val="single" w:color="CCCCCC" w:sz="1"/>
            </w:tcBorders>
            <w:shd w:fill="F0E6F4" w:val="clear"/>
            <w:tcMar>
              <w:top w:type="dxa" w:w="80"/>
              <w:left w:type="dxa" w:w="140"/>
              <w:bottom w:type="dxa" w:w="80"/>
              <w:right w:type="dxa" w:w="140"/>
            </w:tcMar>
          </w:tcPr>
          <w:p>
            <w:pPr>
              <w:jc w:val="center"/>
            </w:pPr>
            <w:r>
              <w:rPr>
                <w:rFonts w:ascii="Arial" w:cs="Arial" w:eastAsia="Arial" w:hAnsi="Arial"/>
                <w:b/>
                <w:bCs/>
                <w:color w:val="5E1A6E"/>
                <w:sz w:val="20"/>
                <w:szCs w:val="20"/>
              </w:rPr>
              <w:t xml:space="preserve">4</w:t>
            </w:r>
          </w:p>
        </w:tc>
        <w:tc>
          <w:tcPr>
            <w:tcW w:type="dxa" w:w="1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19"/>
                <w:szCs w:val="19"/>
              </w:rPr>
              <w:t xml:space="preserve">Track 1 — Voice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Add negative constraints (no stat-first openers, no tired patterns)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19"/>
                <w:szCs w:val="19"/>
              </w:rPr>
              <w:t xml:space="preserve">AI Content node system prompt</w:t>
            </w:r>
          </w:p>
        </w:tc>
      </w:tr>
      <w:tr>
        <w:tc>
          <w:tcPr>
            <w:tcW w:type="dxa" w:w="600"/>
            <w:tcBorders>
              <w:top w:val="single" w:color="CCCCCC" w:sz="1"/>
              <w:left w:val="single" w:color="CCCCCC" w:sz="1"/>
              <w:bottom w:val="single" w:color="CCCCCC" w:sz="1"/>
              <w:right w:val="single" w:color="CCCCCC" w:sz="1"/>
            </w:tcBorders>
            <w:shd w:fill="F0E6F4" w:val="clear"/>
            <w:tcMar>
              <w:top w:type="dxa" w:w="80"/>
              <w:left w:type="dxa" w:w="140"/>
              <w:bottom w:type="dxa" w:w="80"/>
              <w:right w:type="dxa" w:w="140"/>
            </w:tcMar>
          </w:tcPr>
          <w:p>
            <w:pPr>
              <w:jc w:val="center"/>
            </w:pPr>
            <w:r>
              <w:rPr>
                <w:rFonts w:ascii="Arial" w:cs="Arial" w:eastAsia="Arial" w:hAnsi="Arial"/>
                <w:b/>
                <w:bCs/>
                <w:color w:val="5E1A6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19"/>
                <w:szCs w:val="19"/>
              </w:rPr>
              <w:t xml:space="preserve">Track 3 — Inputs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Add P03 competitor findings pre-processing step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19"/>
                <w:szCs w:val="19"/>
              </w:rPr>
              <w:t xml:space="preserve">New code node before AI Content</w:t>
            </w:r>
          </w:p>
        </w:tc>
      </w:tr>
      <w:tr>
        <w:tc>
          <w:tcPr>
            <w:tcW w:type="dxa" w:w="600"/>
            <w:tcBorders>
              <w:top w:val="single" w:color="CCCCCC" w:sz="1"/>
              <w:left w:val="single" w:color="CCCCCC" w:sz="1"/>
              <w:bottom w:val="single" w:color="CCCCCC" w:sz="1"/>
              <w:right w:val="single" w:color="CCCCCC" w:sz="1"/>
            </w:tcBorders>
            <w:shd w:fill="F0E6F4" w:val="clear"/>
            <w:tcMar>
              <w:top w:type="dxa" w:w="80"/>
              <w:left w:type="dxa" w:w="140"/>
              <w:bottom w:type="dxa" w:w="80"/>
              <w:right w:type="dxa" w:w="140"/>
            </w:tcMar>
          </w:tcPr>
          <w:p>
            <w:pPr>
              <w:jc w:val="center"/>
            </w:pPr>
            <w:r>
              <w:rPr>
                <w:rFonts w:ascii="Arial" w:cs="Arial" w:eastAsia="Arial" w:hAnsi="Arial"/>
                <w:b/>
                <w:bCs/>
                <w:color w:val="5E1A6E"/>
                <w:sz w:val="20"/>
                <w:szCs w:val="20"/>
              </w:rPr>
              <w:t xml:space="preserve">6</w:t>
            </w:r>
          </w:p>
        </w:tc>
        <w:tc>
          <w:tcPr>
            <w:tcW w:type="dxa" w:w="1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19"/>
                <w:szCs w:val="19"/>
              </w:rPr>
              <w:t xml:space="preserve">Track 2 — Types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Add draft_opening field to blog post ideas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19"/>
                <w:szCs w:val="19"/>
              </w:rPr>
              <w:t xml:space="preserve">AI Content prompt + Build HTML node</w:t>
            </w:r>
          </w:p>
        </w:tc>
      </w:tr>
      <w:tr>
        <w:tc>
          <w:tcPr>
            <w:tcW w:type="dxa" w:w="600"/>
            <w:tcBorders>
              <w:top w:val="single" w:color="CCCCCC" w:sz="1"/>
              <w:left w:val="single" w:color="CCCCCC" w:sz="1"/>
              <w:bottom w:val="single" w:color="CCCCCC" w:sz="1"/>
              <w:right w:val="single" w:color="CCCCCC" w:sz="1"/>
            </w:tcBorders>
            <w:shd w:fill="F0E6F4" w:val="clear"/>
            <w:tcMar>
              <w:top w:type="dxa" w:w="80"/>
              <w:left w:type="dxa" w:w="140"/>
              <w:bottom w:type="dxa" w:w="80"/>
              <w:right w:type="dxa" w:w="140"/>
            </w:tcMar>
          </w:tcPr>
          <w:p>
            <w:pPr>
              <w:jc w:val="center"/>
            </w:pPr>
            <w:r>
              <w:rPr>
                <w:rFonts w:ascii="Arial" w:cs="Arial" w:eastAsia="Arial" w:hAnsi="Arial"/>
                <w:b/>
                <w:bCs/>
                <w:color w:val="5E1A6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19"/>
                <w:szCs w:val="19"/>
              </w:rPr>
              <w:t xml:space="preserve">Track 1 — Voice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Split prompt into channel-specific sub-prompts with tone instructions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19"/>
                <w:szCs w:val="19"/>
              </w:rPr>
              <w:t xml:space="preserve">AI Content node system prompt</w:t>
            </w:r>
          </w:p>
        </w:tc>
      </w:tr>
      <w:tr>
        <w:tc>
          <w:tcPr>
            <w:tcW w:type="dxa" w:w="600"/>
            <w:tcBorders>
              <w:top w:val="single" w:color="CCCCCC" w:sz="1"/>
              <w:left w:val="single" w:color="CCCCCC" w:sz="1"/>
              <w:bottom w:val="single" w:color="CCCCCC" w:sz="1"/>
              <w:right w:val="single" w:color="CCCCCC" w:sz="1"/>
            </w:tcBorders>
            <w:shd w:fill="F0E6F4" w:val="clear"/>
            <w:tcMar>
              <w:top w:type="dxa" w:w="80"/>
              <w:left w:type="dxa" w:w="140"/>
              <w:bottom w:type="dxa" w:w="80"/>
              <w:right w:type="dxa" w:w="140"/>
            </w:tcMar>
          </w:tcPr>
          <w:p>
            <w:pPr>
              <w:jc w:val="center"/>
            </w:pPr>
            <w:r>
              <w:rPr>
                <w:rFonts w:ascii="Arial" w:cs="Arial" w:eastAsia="Arial" w:hAnsi="Arial"/>
                <w:b/>
                <w:bCs/>
                <w:color w:val="5E1A6E"/>
                <w:sz w:val="20"/>
                <w:szCs w:val="20"/>
              </w:rPr>
              <w:t xml:space="preserve">8</w:t>
            </w:r>
          </w:p>
        </w:tc>
        <w:tc>
          <w:tcPr>
            <w:tcW w:type="dxa" w:w="1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19"/>
                <w:szCs w:val="19"/>
              </w:rPr>
              <w:t xml:space="preserve">Track 2 — Types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Build dedicated TikTok script block (4-field structure)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19"/>
                <w:szCs w:val="19"/>
              </w:rPr>
              <w:t xml:space="preserve">AI Content schema + Build HTML node</w:t>
            </w:r>
          </w:p>
        </w:tc>
      </w:tr>
      <w:tr>
        <w:tc>
          <w:tcPr>
            <w:tcW w:type="dxa" w:w="600"/>
            <w:tcBorders>
              <w:top w:val="single" w:color="CCCCCC" w:sz="1"/>
              <w:left w:val="single" w:color="CCCCCC" w:sz="1"/>
              <w:bottom w:val="single" w:color="CCCCCC" w:sz="1"/>
              <w:right w:val="single" w:color="CCCCCC" w:sz="1"/>
            </w:tcBorders>
            <w:shd w:fill="F0E6F4" w:val="clear"/>
            <w:tcMar>
              <w:top w:type="dxa" w:w="80"/>
              <w:left w:type="dxa" w:w="140"/>
              <w:bottom w:type="dxa" w:w="80"/>
              <w:right w:type="dxa" w:w="140"/>
            </w:tcMar>
          </w:tcPr>
          <w:p>
            <w:pPr>
              <w:jc w:val="center"/>
            </w:pPr>
            <w:r>
              <w:rPr>
                <w:rFonts w:ascii="Arial" w:cs="Arial" w:eastAsia="Arial" w:hAnsi="Arial"/>
                <w:b/>
                <w:bCs/>
                <w:color w:val="5E1A6E"/>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19"/>
                <w:szCs w:val="19"/>
              </w:rPr>
              <w:t xml:space="preserve">Track 2 — Types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Add full Pinterest pin descriptions (150-300 chars)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19"/>
                <w:szCs w:val="19"/>
              </w:rPr>
              <w:t xml:space="preserve">AI Content schema + Build HTML node</w:t>
            </w:r>
          </w:p>
        </w:tc>
      </w:tr>
      <w:tr>
        <w:tc>
          <w:tcPr>
            <w:tcW w:type="dxa" w:w="600"/>
            <w:tcBorders>
              <w:top w:val="single" w:color="CCCCCC" w:sz="1"/>
              <w:left w:val="single" w:color="CCCCCC" w:sz="1"/>
              <w:bottom w:val="single" w:color="CCCCCC" w:sz="1"/>
              <w:right w:val="single" w:color="CCCCCC" w:sz="1"/>
            </w:tcBorders>
            <w:shd w:fill="F0E6F4" w:val="clear"/>
            <w:tcMar>
              <w:top w:type="dxa" w:w="80"/>
              <w:left w:type="dxa" w:w="140"/>
              <w:bottom w:type="dxa" w:w="80"/>
              <w:right w:type="dxa" w:w="140"/>
            </w:tcMar>
          </w:tcPr>
          <w:p>
            <w:pPr>
              <w:jc w:val="center"/>
            </w:pPr>
            <w:r>
              <w:rPr>
                <w:rFonts w:ascii="Arial" w:cs="Arial" w:eastAsia="Arial" w:hAnsi="Arial"/>
                <w:b/>
                <w:bCs/>
                <w:color w:val="5E1A6E"/>
                <w:sz w:val="20"/>
                <w:szCs w:val="20"/>
              </w:rPr>
              <w:t xml:space="preserve">10</w:t>
            </w:r>
          </w:p>
        </w:tc>
        <w:tc>
          <w:tcPr>
            <w:tcW w:type="dxa" w:w="1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19"/>
                <w:szCs w:val="19"/>
              </w:rPr>
              <w:t xml:space="preserve">Track 2 — Types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Add product spotlight section (one per micro-segment)</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color w:val="5F5E5A"/>
                <w:sz w:val="19"/>
                <w:szCs w:val="19"/>
              </w:rPr>
              <w:t xml:space="preserve">New generator node + Build HTML node</w:t>
            </w:r>
          </w:p>
        </w:tc>
      </w:tr>
    </w:tbl>
    <w:p>
      <w:pPr>
        <w:spacing w:after="80" w:before="80"/>
      </w:pPr>
    </w:p>
    <w:p>
      <w:pPr>
        <w:pBdr>
          <w:bottom w:val="single" w:color="5E1A6E" w:sz="8" w:space="1"/>
        </w:pBdr>
      </w:pPr>
    </w:p>
    <w:p>
      <w:pPr>
        <w:spacing w:after="40" w:before="60"/>
      </w:pPr>
    </w:p>
    <w:p>
      <w:pPr>
        <w:jc w:val="center"/>
      </w:pPr>
      <w:r>
        <w:rPr>
          <w:rFonts w:ascii="Arial" w:cs="Arial" w:eastAsia="Arial" w:hAnsi="Arial"/>
          <w:color w:val="5F5E5A"/>
          <w:sz w:val="19"/>
          <w:szCs w:val="19"/>
        </w:rPr>
        <w:t xml:space="preserve">Wayfair AI Automation Externship  |  Extern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Wayfair AI Automation Externship  |  Project 04  |  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of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5E1A6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2C2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2026-05-26T02:27:45.136Z</dcterms:created>
  <dcterms:modified xsi:type="dcterms:W3CDTF">2026-05-26T02:27:45.136Z</dcterms:modified>
</cp:coreProperties>
</file>

<file path=docProps/custom.xml><?xml version="1.0" encoding="utf-8"?>
<Properties xmlns="http://schemas.openxmlformats.org/officeDocument/2006/custom-properties" xmlns:vt="http://schemas.openxmlformats.org/officeDocument/2006/docPropsVTypes"/>
</file>