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color w:val="1C1C1C"/>
          <w:sz w:val="48"/>
        </w:rPr>
        <w:t xml:space="preserve">CLAVEL M. LAZARRE</w:t>
      </w:r>
      <w:r>
        <w:rPr>
          <w:rFonts w:ascii="Calibri" w:hAnsi="Calibri"/>
          <w:b w:val="0"/>
          <w:i w:val="0"/>
          <w:color w:val="C09628"/>
          <w:sz w:val="26"/>
        </w:rPr>
        <w:t xml:space="preserve">,  MBA</w:t>
      </w:r>
    </w:p>
    <w:p>
      <w:pPr>
        <w:spacing w:before="20" w:after="40"/>
        <w:jc w:val="center"/>
      </w:pPr>
      <w:r>
        <w:rPr>
          <w:rFonts w:ascii="Calibri" w:hAnsi="Calibri"/>
          <w:b w:val="0"/>
          <w:i w:val="0"/>
          <w:color w:val="C09628"/>
          <w:sz w:val="17"/>
        </w:rPr>
        <w:t xml:space="preserve">PUBLIC-SECTOR FINANCE  ·  BUDGET &amp; CAPITAL PLANNING  ·  AUDIT, PROCUREMENT &amp; COMPLIANCE  ·  NYC AGENCY CONTRACTS</w:t>
      </w:r>
    </w:p>
    <w:p>
      <w:pPr>
        <w:spacing w:before="20" w:after="80"/>
        <w:jc w:val="center"/>
      </w:pPr>
      <w:r>
        <w:rPr>
          <w:rFonts w:ascii="Calibri" w:hAnsi="Calibri"/>
          <w:b w:val="0"/>
          <w:i w:val="0"/>
          <w:color w:val="555555"/>
          <w:sz w:val="18"/>
        </w:rPr>
        <w:t xml:space="preserve">Brooklyn, NY  |  347-607-8164  |  lazarreclavel3@gmail.com</w:t>
      </w:r>
    </w:p>
    <w:p>
      <w:pPr>
        <w:spacing w:before="0" w:after="120"/>
        <w:pBdr>
          <w:bottom w:val="single" w:sz="8" w:space="1" w:color="C09628"/>
        </w:pBdr>
      </w:pPr>
    </w:p>
    <w:p>
      <w:pPr>
        <w:keepNext/>
        <w:spacing w:before="120" w:after="40"/>
        <w:pBdr>
          <w:bottom w:val="single" w:sz="8" w:space="1" w:color="C09628"/>
        </w:pBdr>
      </w:pPr>
    </w:p>
    <w:p>
      <w:pPr>
        <w:keepNext/>
        <w:spacing w:before="0" w:after="60"/>
        <w:ind w:left="0"/>
      </w:pPr>
      <w:r>
        <w:rPr>
          <w:rFonts w:ascii="Calibri" w:hAnsi="Calibri"/>
          <w:b/>
          <w:i w:val="0"/>
          <w:color w:val="C09628"/>
          <w:sz w:val="19"/>
        </w:rPr>
        <w:t xml:space="preserve">EXECUTIVE PROFILE</w:t>
      </w:r>
    </w:p>
    <w:p>
      <w:pPr>
        <w:spacing w:before="40" w:after="80" w:lineRule="exact" w:line="250"/>
      </w:pPr>
      <w:r>
        <w:rPr>
          <w:rFonts w:ascii="Calibri" w:hAnsi="Calibri"/>
          <w:b w:val="0"/>
          <w:i w:val="0"/>
          <w:color w:val="3A3A3A"/>
          <w:sz w:val="19"/>
        </w:rPr>
        <w:t xml:space="preserve">Finance executive with direct experience managing New York City agency finances and contracts, including financial controls, billing, and compliance for NYC Department of Homeless Services and NYCHA engagements. Leads budgeting, forecasting, treasury, and cash management; directs audit readiness, internal controls, and compliance under GAAP and Uniform Guidance; and supports capital planning through scenario modeling. Served as financial architect for a $200M national banking-development initiative and structured the financial framework for a publicly funded New York Power Authority workforce program. Renegotiated vendor and procurement agreements to cut costs 35%, implemented ERP systems that improved processing efficiency 60%, and reversed a $1M operating deficit into a 13% surplus. Advises executive leadership on financial strategy, risk, and resource allocation.</w:t>
      </w:r>
    </w:p>
    <w:p>
      <w:pPr>
        <w:keepNext/>
        <w:spacing w:before="120" w:after="40"/>
        <w:pBdr>
          <w:bottom w:val="single" w:sz="8" w:space="1" w:color="C09628"/>
        </w:pBdr>
      </w:pPr>
    </w:p>
    <w:p>
      <w:pPr>
        <w:keepNext/>
        <w:spacing w:before="0" w:after="60"/>
        <w:ind w:left="0"/>
      </w:pPr>
      <w:r>
        <w:rPr>
          <w:rFonts w:ascii="Calibri" w:hAnsi="Calibri"/>
          <w:b/>
          <w:i w:val="0"/>
          <w:color w:val="C09628"/>
          <w:sz w:val="19"/>
        </w:rPr>
        <w:t xml:space="preserve">SELECTED FINANCIAL IMPACT</w:t>
      </w:r>
    </w:p>
    <w:tbl>
      <w:tblPr>
        <w:tblW w:type="auto" w:w="0"/>
        <w:tblLook w:firstColumn="1" w:firstRow="1" w:lastColumn="0" w:lastRow="0" w:noHBand="0" w:noVBand="1" w:val="04A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592"/>
        <w:gridCol w:w="2592"/>
        <w:gridCol w:w="2592"/>
        <w:gridCol w:w="2592"/>
      </w:tblGrid>
      <w:tr>
        <w:tc>
          <w:tcPr>
            <w:tcW w:type="dxa" w:w="2592"/>
            <w:shd w:val="clear" w:color="auto" w:fill="C09628"/>
            <w:vAlign w:val="center"/>
          </w:tcPr>
          <w:p>
            <w:pPr>
              <w:spacing w:before="100" w:after="40"/>
              <w:jc w:val="center"/>
            </w:pPr>
            <w:r>
              <w:rPr>
                <w:rFonts w:ascii="Calibri" w:hAnsi="Calibri"/>
                <w:b/>
                <w:i w:val="0"/>
                <w:color w:val="FFFFFF"/>
                <w:sz w:val="32"/>
              </w:rPr>
              <w:t xml:space="preserve">$1M → 13%</w:t>
            </w:r>
          </w:p>
        </w:tc>
        <w:tc>
          <w:tcPr>
            <w:tcW w:type="dxa" w:w="2592"/>
            <w:shd w:val="clear" w:color="auto" w:fill="C09628"/>
            <w:vAlign w:val="center"/>
          </w:tcPr>
          <w:p>
            <w:pPr>
              <w:spacing w:before="100" w:after="40"/>
              <w:jc w:val="center"/>
            </w:pPr>
            <w:r>
              <w:rPr>
                <w:rFonts w:ascii="Calibri" w:hAnsi="Calibri"/>
                <w:b/>
                <w:i w:val="0"/>
                <w:color w:val="FFFFFF"/>
                <w:sz w:val="32"/>
              </w:rPr>
              <w:t xml:space="preserve">$1.5M+</w:t>
            </w:r>
          </w:p>
        </w:tc>
        <w:tc>
          <w:tcPr>
            <w:tcW w:type="dxa" w:w="2592"/>
            <w:shd w:val="clear" w:color="auto" w:fill="C09628"/>
            <w:vAlign w:val="center"/>
          </w:tcPr>
          <w:p>
            <w:pPr>
              <w:spacing w:before="100" w:after="40"/>
              <w:jc w:val="center"/>
            </w:pPr>
            <w:r>
              <w:rPr>
                <w:rFonts w:ascii="Calibri" w:hAnsi="Calibri"/>
                <w:b/>
                <w:i w:val="0"/>
                <w:color w:val="FFFFFF"/>
                <w:sz w:val="32"/>
              </w:rPr>
              <w:t xml:space="preserve">$10M+</w:t>
            </w:r>
          </w:p>
        </w:tc>
        <w:tc>
          <w:tcPr>
            <w:tcW w:type="dxa" w:w="2592"/>
            <w:shd w:val="clear" w:color="auto" w:fill="C09628"/>
            <w:vAlign w:val="center"/>
          </w:tcPr>
          <w:p>
            <w:pPr>
              <w:spacing w:before="100" w:after="40"/>
              <w:jc w:val="center"/>
            </w:pPr>
            <w:r>
              <w:rPr>
                <w:rFonts w:ascii="Calibri" w:hAnsi="Calibri"/>
                <w:b/>
                <w:i w:val="0"/>
                <w:color w:val="FFFFFF"/>
                <w:sz w:val="32"/>
              </w:rPr>
              <w:t xml:space="preserve">$200M</w:t>
            </w:r>
          </w:p>
        </w:tc>
      </w:tr>
      <w:tr>
        <w:tc>
          <w:tcPr>
            <w:tcW w:type="dxa" w:w="2592"/>
            <w:shd w:val="clear" w:color="auto" w:fill="1C1C1C"/>
            <w:vAlign w:val="center"/>
          </w:tcPr>
          <w:p>
            <w:pPr>
              <w:spacing w:before="60" w:after="100"/>
              <w:jc w:val="center"/>
            </w:pPr>
            <w:r>
              <w:rPr>
                <w:rFonts w:ascii="Calibri" w:hAnsi="Calibri"/>
                <w:b w:val="0"/>
                <w:i w:val="0"/>
                <w:color w:val="FFFFFF"/>
                <w:sz w:val="15"/>
              </w:rPr>
              <w:t xml:space="preserve">Deficit reversed to surplus</w:t>
            </w:r>
          </w:p>
        </w:tc>
        <w:tc>
          <w:tcPr>
            <w:tcW w:type="dxa" w:w="2592"/>
            <w:shd w:val="clear" w:color="auto" w:fill="1C1C1C"/>
            <w:vAlign w:val="center"/>
          </w:tcPr>
          <w:p>
            <w:pPr>
              <w:spacing w:before="60" w:after="100"/>
              <w:jc w:val="center"/>
            </w:pPr>
            <w:r>
              <w:rPr>
                <w:rFonts w:ascii="Calibri" w:hAnsi="Calibri"/>
                <w:b w:val="0"/>
                <w:i w:val="0"/>
                <w:color w:val="FFFFFF"/>
                <w:sz w:val="15"/>
              </w:rPr>
              <w:t xml:space="preserve">Tax savings recovered</w:t>
            </w:r>
          </w:p>
        </w:tc>
        <w:tc>
          <w:tcPr>
            <w:tcW w:type="dxa" w:w="2592"/>
            <w:shd w:val="clear" w:color="auto" w:fill="1C1C1C"/>
            <w:vAlign w:val="center"/>
          </w:tcPr>
          <w:p>
            <w:pPr>
              <w:spacing w:before="60" w:after="100"/>
              <w:jc w:val="center"/>
            </w:pPr>
            <w:r>
              <w:rPr>
                <w:rFonts w:ascii="Calibri" w:hAnsi="Calibri"/>
                <w:b w:val="0"/>
                <w:i w:val="0"/>
                <w:color w:val="FFFFFF"/>
                <w:sz w:val="15"/>
              </w:rPr>
              <w:t xml:space="preserve">New contracts structured</w:t>
            </w:r>
          </w:p>
        </w:tc>
        <w:tc>
          <w:tcPr>
            <w:tcW w:type="dxa" w:w="2592"/>
            <w:shd w:val="clear" w:color="auto" w:fill="1C1C1C"/>
            <w:vAlign w:val="center"/>
          </w:tcPr>
          <w:p>
            <w:pPr>
              <w:spacing w:before="60" w:after="100"/>
              <w:jc w:val="center"/>
            </w:pPr>
            <w:r>
              <w:rPr>
                <w:rFonts w:ascii="Calibri" w:hAnsi="Calibri"/>
                <w:b w:val="0"/>
                <w:i w:val="0"/>
                <w:color w:val="FFFFFF"/>
                <w:sz w:val="15"/>
              </w:rPr>
              <w:t xml:space="preserve">Banking initiative structured</w:t>
            </w:r>
          </w:p>
        </w:tc>
      </w:tr>
    </w:tbl>
    <w:p>
      <w:pPr>
        <w:keepNext/>
        <w:spacing w:before="120" w:after="40"/>
        <w:pBdr>
          <w:bottom w:val="single" w:sz="8" w:space="1" w:color="C09628"/>
        </w:pBdr>
      </w:pPr>
    </w:p>
    <w:p>
      <w:pPr>
        <w:keepNext/>
        <w:spacing w:before="0" w:after="60"/>
        <w:ind w:left="0"/>
      </w:pPr>
      <w:r>
        <w:rPr>
          <w:rFonts w:ascii="Calibri" w:hAnsi="Calibri"/>
          <w:b/>
          <w:i w:val="0"/>
          <w:color w:val="C09628"/>
          <w:sz w:val="19"/>
        </w:rPr>
        <w:t xml:space="preserve">CORE LEADERSHIP CAPABILITIES</w:t>
      </w:r>
    </w:p>
    <w:p>
      <w:pPr>
        <w:spacing w:before="40" w:after="80" w:lineRule="exact" w:line="240"/>
        <w:jc w:val="center"/>
      </w:pPr>
      <w:r>
        <w:rPr>
          <w:rFonts w:ascii="Calibri" w:hAnsi="Calibri"/>
          <w:b w:val="0"/>
          <w:i w:val="0"/>
          <w:color w:val="3A3A3A"/>
          <w:sz w:val="17"/>
        </w:rPr>
        <w:t xml:space="preserve">Agency Budget Development &amp; Monitoring  •  Capital Planning &amp; Financing  •  Accounting, Audit &amp; Internal Controls  •  Procurement &amp; Vendor Management  •  Revenue &amp; Billing Oversight  •  Regulatory &amp; Grant Compliance  •  NYC Agency Contracts (DHS, NYCHA)  •  Oversight-Body Coordination  •  Financial Systems &amp; ERP  •  Risk Management  •  Executive Advisory  •  Finance Team Leadership</w:t>
      </w:r>
    </w:p>
    <w:p>
      <w:pPr>
        <w:keepNext/>
        <w:spacing w:before="120" w:after="40"/>
        <w:pBdr>
          <w:bottom w:val="single" w:sz="8" w:space="1" w:color="C09628"/>
        </w:pBdr>
      </w:pPr>
    </w:p>
    <w:p>
      <w:pPr>
        <w:keepNext/>
        <w:spacing w:before="0" w:after="60"/>
        <w:ind w:left="0"/>
      </w:pPr>
      <w:r>
        <w:rPr>
          <w:rFonts w:ascii="Calibri" w:hAnsi="Calibri"/>
          <w:b/>
          <w:i w:val="0"/>
          <w:color w:val="C09628"/>
          <w:sz w:val="19"/>
        </w:rPr>
        <w:t xml:space="preserve">PROFESSIONAL EXPERIENCE</w:t>
      </w:r>
    </w:p>
    <w:tbl>
      <w:tblPr>
        <w:tblW w:type="auto" w:w="0"/>
        <w:tblLook w:firstColumn="1" w:firstRow="1" w:lastColumn="0" w:lastRow="0" w:noHBand="0" w:noVBand="1" w:val="04A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184"/>
        <w:gridCol w:w="5184"/>
      </w:tblGrid>
      <w:tr>
        <w:tc>
          <w:tcPr>
            <w:tcW w:type="dxa" w:w="5184"/>
          </w:tcPr>
          <w:p>
            <w:pPr>
              <w:keepNext/>
              <w:spacing w:before="100" w:after="20"/>
            </w:pPr>
            <w:r>
              <w:rPr>
                <w:rFonts w:ascii="Calibri" w:hAnsi="Calibri"/>
                <w:b/>
                <w:i w:val="0"/>
                <w:color w:val="1C1C1C"/>
                <w:sz w:val="19"/>
              </w:rPr>
              <w:t xml:space="preserve">MAROON STRATEGIST LLC  |  Chief Financial Officer (Advisory)</w:t>
            </w:r>
          </w:p>
        </w:tc>
        <w:tc>
          <w:tcPr>
            <w:tcW w:type="dxa" w:w="5184"/>
          </w:tcPr>
          <w:p>
            <w:pPr>
              <w:keepNext/>
              <w:spacing w:before="100" w:after="20"/>
              <w:jc w:val="right"/>
            </w:pPr>
            <w:r>
              <w:rPr>
                <w:rFonts w:ascii="Calibri" w:hAnsi="Calibri"/>
                <w:b w:val="0"/>
                <w:i w:val="0"/>
                <w:color w:val="C09628"/>
                <w:sz w:val="18"/>
              </w:rPr>
              <w:t xml:space="preserve">2025–Present</w:t>
            </w:r>
          </w:p>
        </w:tc>
      </w:tr>
    </w:tbl>
    <w:p>
      <w:pPr>
        <w:keepNext/>
        <w:spacing w:before="0" w:after="40"/>
      </w:pPr>
      <w:r>
        <w:rPr>
          <w:rFonts w:ascii="Calibri" w:hAnsi="Calibri"/>
          <w:b w:val="0"/>
          <w:i/>
          <w:color w:val="555555"/>
          <w:sz w:val="17"/>
        </w:rPr>
        <w:t xml:space="preserve">New York, NY</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Lead financial planning, budgeting, treasury, liquidity management, and cash-flow forecasting for client organizations across nonprofit, private, education, and public-sector settings.</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Direct audit readiness and external audit processes; ensure GAAP and Uniform Guidance compliance; design internal controls and fund-accounting frameworks.</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Spearhead liquidity and working-capital strategy, including covenant monitoring, short-term financing analysis, and stress testing; support capital allocation through scenario modeling.</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Structured the financial framework for a NYPA Clean Energy Workforce Program, aligning public funding, compliance, and performance metrics.</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Execute financial turnarounds, forensic accounting, historical clean-up, and audit remediation for organizations with reporting deficiencies.</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Identified and recovered $1.5M+ in tax savings through detailed financial analysis and correction of reporting deficiencies.</w:t>
      </w:r>
    </w:p>
    <w:tbl>
      <w:tblPr>
        <w:tblW w:type="auto" w:w="0"/>
        <w:tblLook w:firstColumn="1" w:firstRow="1" w:lastColumn="0" w:lastRow="0" w:noHBand="0" w:noVBand="1" w:val="04A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184"/>
        <w:gridCol w:w="5184"/>
      </w:tblGrid>
      <w:tr>
        <w:tc>
          <w:tcPr>
            <w:tcW w:type="dxa" w:w="5184"/>
          </w:tcPr>
          <w:p>
            <w:pPr>
              <w:keepNext/>
              <w:spacing w:before="100" w:after="20"/>
            </w:pPr>
            <w:r>
              <w:rPr>
                <w:rFonts w:ascii="Calibri" w:hAnsi="Calibri"/>
                <w:b/>
                <w:i w:val="0"/>
                <w:color w:val="1C1C1C"/>
                <w:sz w:val="19"/>
              </w:rPr>
              <w:t xml:space="preserve">THE OSBORNE ASSOCIATION  |  Vice President, Business Development &amp; Social Ventures</w:t>
            </w:r>
          </w:p>
        </w:tc>
        <w:tc>
          <w:tcPr>
            <w:tcW w:type="dxa" w:w="5184"/>
          </w:tcPr>
          <w:p>
            <w:pPr>
              <w:keepNext/>
              <w:spacing w:before="100" w:after="20"/>
              <w:jc w:val="right"/>
            </w:pPr>
            <w:r>
              <w:rPr>
                <w:rFonts w:ascii="Calibri" w:hAnsi="Calibri"/>
                <w:b w:val="0"/>
                <w:i w:val="0"/>
                <w:color w:val="C09628"/>
                <w:sz w:val="18"/>
              </w:rPr>
              <w:t xml:space="preserve">Jan 2023–May 2025</w:t>
            </w:r>
          </w:p>
        </w:tc>
      </w:tr>
    </w:tbl>
    <w:p>
      <w:pPr>
        <w:keepNext/>
        <w:spacing w:before="0" w:after="40"/>
      </w:pPr>
      <w:r>
        <w:rPr>
          <w:rFonts w:ascii="Calibri" w:hAnsi="Calibri"/>
          <w:b w:val="0"/>
          <w:i/>
          <w:color w:val="555555"/>
          <w:sz w:val="17"/>
        </w:rPr>
        <w:t xml:space="preserve">New York, NY</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Reversed a $1M annual operating deficit and delivered a 13% operating surplus through cost restructuring, financial controls, and revenue optimization.</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Partnered with the CEO and Board on long-range planning, risk management, and organizational growth strategy.</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Held full P&amp;L accountability for an $8M portfolio within a $50M+ nonprofit; led financial and operational oversight of a 140-person, multi-program division.</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Negotiated and structured $10M+ in new government, institutional, and corporate contracts.</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Developed revenue-generating social ventures that combined financial sustainability with mission outcomes.</w:t>
      </w:r>
    </w:p>
    <w:p>
      <w:pPr>
        <w:keepNext/>
        <w:spacing w:before="120" w:after="40"/>
        <w:pBdr>
          <w:bottom w:val="single" w:sz="8" w:space="1" w:color="C09628"/>
        </w:pBdr>
      </w:pPr>
    </w:p>
    <w:p>
      <w:pPr>
        <w:keepNext/>
        <w:spacing w:before="0" w:after="60"/>
        <w:ind w:left="0"/>
      </w:pPr>
      <w:r>
        <w:rPr>
          <w:rFonts w:ascii="Calibri" w:hAnsi="Calibri"/>
          <w:b/>
          <w:i w:val="0"/>
          <w:color w:val="C09628"/>
          <w:sz w:val="19"/>
        </w:rPr>
        <w:t xml:space="preserve">ADDITIONAL EXECUTIVE EXPERIENCE</w:t>
      </w:r>
    </w:p>
    <w:tbl>
      <w:tblPr>
        <w:tblW w:type="auto" w:w="0"/>
        <w:tblLook w:firstColumn="1" w:firstRow="1" w:lastColumn="0" w:lastRow="0" w:noHBand="0" w:noVBand="1" w:val="04A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184"/>
        <w:gridCol w:w="5184"/>
      </w:tblGrid>
      <w:tr>
        <w:tc>
          <w:tcPr>
            <w:tcW w:type="dxa" w:w="5184"/>
          </w:tcPr>
          <w:p>
            <w:pPr>
              <w:keepNext/>
              <w:spacing w:before="100" w:after="20"/>
            </w:pPr>
            <w:r>
              <w:rPr>
                <w:rFonts w:ascii="Calibri" w:hAnsi="Calibri"/>
                <w:b/>
                <w:i w:val="0"/>
                <w:color w:val="1C1C1C"/>
                <w:sz w:val="19"/>
              </w:rPr>
              <w:t xml:space="preserve">ALLUEL LOGISTICS  |  Vice President of Operations</w:t>
            </w:r>
          </w:p>
        </w:tc>
        <w:tc>
          <w:tcPr>
            <w:tcW w:type="dxa" w:w="5184"/>
          </w:tcPr>
          <w:p>
            <w:pPr>
              <w:keepNext/>
              <w:spacing w:before="100" w:after="20"/>
              <w:jc w:val="right"/>
            </w:pPr>
            <w:r>
              <w:rPr>
                <w:rFonts w:ascii="Calibri" w:hAnsi="Calibri"/>
                <w:b w:val="0"/>
                <w:i w:val="0"/>
                <w:color w:val="C09628"/>
                <w:sz w:val="18"/>
              </w:rPr>
              <w:t xml:space="preserve">Nov 2021–Aug 2022</w:t>
            </w:r>
          </w:p>
        </w:tc>
      </w:tr>
    </w:tbl>
    <w:p>
      <w:pPr>
        <w:keepNext/>
        <w:spacing w:before="0" w:after="40"/>
      </w:pPr>
      <w:r>
        <w:rPr>
          <w:rFonts w:ascii="Calibri" w:hAnsi="Calibri"/>
          <w:b w:val="0"/>
          <w:i/>
          <w:color w:val="555555"/>
          <w:sz w:val="17"/>
        </w:rPr>
        <w:t xml:space="preserve">New York, NY</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Directed financial controls, billing, and compliance for NYCHA and NYC Department of Homeless Services contracts.</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Renegotiated vendor and logistics agreements, reducing costs 35% and improving margins.</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Implemented a redesigned ERP-based warehouse management system, improving processing efficiency 60% and data visibility.</w:t>
      </w:r>
    </w:p>
    <w:tbl>
      <w:tblPr>
        <w:tblW w:type="auto" w:w="0"/>
        <w:tblLook w:firstColumn="1" w:firstRow="1" w:lastColumn="0" w:lastRow="0" w:noHBand="0" w:noVBand="1" w:val="04A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184"/>
        <w:gridCol w:w="5184"/>
      </w:tblGrid>
      <w:tr>
        <w:tc>
          <w:tcPr>
            <w:tcW w:type="dxa" w:w="5184"/>
          </w:tcPr>
          <w:p>
            <w:pPr>
              <w:keepNext/>
              <w:spacing w:before="100" w:after="20"/>
            </w:pPr>
            <w:r>
              <w:rPr>
                <w:rFonts w:ascii="Calibri" w:hAnsi="Calibri"/>
                <w:b/>
                <w:i w:val="0"/>
                <w:color w:val="1C1C1C"/>
                <w:sz w:val="19"/>
              </w:rPr>
              <w:t xml:space="preserve">MONARK CONSULTING GROUP  |  Fractional CFO and Chief Operating Consultant</w:t>
            </w:r>
          </w:p>
        </w:tc>
        <w:tc>
          <w:tcPr>
            <w:tcW w:type="dxa" w:w="5184"/>
          </w:tcPr>
          <w:p>
            <w:pPr>
              <w:keepNext/>
              <w:spacing w:before="100" w:after="20"/>
              <w:jc w:val="right"/>
            </w:pPr>
            <w:r>
              <w:rPr>
                <w:rFonts w:ascii="Calibri" w:hAnsi="Calibri"/>
                <w:b w:val="0"/>
                <w:i w:val="0"/>
                <w:color w:val="C09628"/>
                <w:sz w:val="18"/>
              </w:rPr>
              <w:t xml:space="preserve">Aug 2016–Nov 2021</w:t>
            </w:r>
          </w:p>
        </w:tc>
      </w:tr>
    </w:tbl>
    <w:p>
      <w:pPr>
        <w:keepNext/>
        <w:spacing w:before="0" w:after="40"/>
      </w:pPr>
      <w:r>
        <w:rPr>
          <w:rFonts w:ascii="Calibri" w:hAnsi="Calibri"/>
          <w:b w:val="0"/>
          <w:i/>
          <w:color w:val="555555"/>
          <w:sz w:val="17"/>
        </w:rPr>
        <w:t xml:space="preserve">New York, NY</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Served as financial architect for a $200M national banking-development initiative, supporting capital planning and financial structuring.</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Developed operational and performance-improvement strategies for $50M+ organizations and major brands.</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Built accounting, governance, and operational infrastructure for an international NGO serving children in Haiti.</w:t>
      </w:r>
    </w:p>
    <w:tbl>
      <w:tblPr>
        <w:tblW w:type="auto" w:w="0"/>
        <w:tblLook w:firstColumn="1" w:firstRow="1" w:lastColumn="0" w:lastRow="0" w:noHBand="0" w:noVBand="1" w:val="04A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184"/>
        <w:gridCol w:w="5184"/>
      </w:tblGrid>
      <w:tr>
        <w:tc>
          <w:tcPr>
            <w:tcW w:type="dxa" w:w="5184"/>
          </w:tcPr>
          <w:p>
            <w:pPr>
              <w:keepNext/>
              <w:spacing w:before="100" w:after="20"/>
            </w:pPr>
            <w:r>
              <w:rPr>
                <w:rFonts w:ascii="Calibri" w:hAnsi="Calibri"/>
                <w:b/>
                <w:i w:val="0"/>
                <w:color w:val="1C1C1C"/>
                <w:sz w:val="19"/>
              </w:rPr>
              <w:t xml:space="preserve">FITNESS COLLECTIVE INC  |  Co-Founder and Chief Operating Officer</w:t>
            </w:r>
          </w:p>
        </w:tc>
        <w:tc>
          <w:tcPr>
            <w:tcW w:type="dxa" w:w="5184"/>
          </w:tcPr>
          <w:p>
            <w:pPr>
              <w:keepNext/>
              <w:spacing w:before="100" w:after="20"/>
              <w:jc w:val="right"/>
            </w:pPr>
            <w:r>
              <w:rPr>
                <w:rFonts w:ascii="Calibri" w:hAnsi="Calibri"/>
                <w:b w:val="0"/>
                <w:i w:val="0"/>
                <w:color w:val="C09628"/>
                <w:sz w:val="18"/>
              </w:rPr>
              <w:t xml:space="preserve">Nov 2004–Feb 2016</w:t>
            </w:r>
          </w:p>
        </w:tc>
      </w:tr>
    </w:tbl>
    <w:p>
      <w:pPr>
        <w:keepNext/>
        <w:spacing w:before="0" w:after="40"/>
      </w:pPr>
      <w:r>
        <w:rPr>
          <w:rFonts w:ascii="Calibri" w:hAnsi="Calibri"/>
          <w:b w:val="0"/>
          <w:i/>
          <w:color w:val="555555"/>
          <w:sz w:val="17"/>
        </w:rPr>
        <w:t xml:space="preserve">New York, NY and Washington, DC</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Founded and scaled a multi-location business from a $5K investment to a $1M enterprise; delivered 33% YoY revenue growth and an 11% margin improvement.</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Built HR, payroll, benefits, and training infrastructure for a 50+ person team.</w:t>
      </w:r>
    </w:p>
    <w:p>
      <w:pPr>
        <w:keepNext/>
        <w:spacing w:before="120" w:after="40"/>
        <w:pBdr>
          <w:bottom w:val="single" w:sz="8" w:space="1" w:color="C09628"/>
        </w:pBdr>
      </w:pPr>
    </w:p>
    <w:p>
      <w:pPr>
        <w:keepNext/>
        <w:spacing w:before="0" w:after="60"/>
        <w:ind w:left="0"/>
      </w:pPr>
      <w:r>
        <w:rPr>
          <w:rFonts w:ascii="Calibri" w:hAnsi="Calibri"/>
          <w:b/>
          <w:i w:val="0"/>
          <w:color w:val="C09628"/>
          <w:sz w:val="19"/>
        </w:rPr>
        <w:t xml:space="preserve">EDUCATION AND CREDENTIALS</w:t>
      </w:r>
    </w:p>
    <w:p>
      <w:pPr>
        <w:spacing w:before="20" w:after="20" w:lineRule="exact" w:line="240"/>
      </w:pPr>
      <w:r>
        <w:rPr>
          <w:rFonts w:ascii="Calibri" w:hAnsi="Calibri"/>
          <w:b w:val="0"/>
          <w:i w:val="0"/>
          <w:color w:val="3A3A3A"/>
          <w:sz w:val="18"/>
        </w:rPr>
        <w:t xml:space="preserve">Master of Business Administration in General Business Management  |  West Texas A&amp;M University  |  2021</w:t>
      </w:r>
    </w:p>
    <w:p>
      <w:pPr>
        <w:spacing w:before="20" w:after="20" w:lineRule="exact" w:line="240"/>
      </w:pPr>
      <w:r>
        <w:rPr>
          <w:rFonts w:ascii="Calibri" w:hAnsi="Calibri"/>
          <w:b w:val="0"/>
          <w:i w:val="0"/>
          <w:color w:val="3A3A3A"/>
          <w:sz w:val="18"/>
        </w:rPr>
        <w:t xml:space="preserve">Bachelor of Science in Small Business Administration  |  Northern Arizona University  |  2019</w:t>
      </w:r>
    </w:p>
    <w:p>
      <w:pPr>
        <w:spacing w:before="20" w:after="20" w:lineRule="exact" w:line="240"/>
      </w:pPr>
      <w:r>
        <w:rPr>
          <w:rFonts w:ascii="Calibri" w:hAnsi="Calibri"/>
          <w:b w:val="0"/>
          <w:i w:val="0"/>
          <w:color w:val="3A3A3A"/>
          <w:sz w:val="18"/>
        </w:rPr>
        <w:t xml:space="preserve">Previously held FINRA Series 7 and Series 63 and Life, Accident and Health Insurance licenses</w:t>
      </w:r>
    </w:p>
    <w:p>
      <w:pPr>
        <w:keepNext/>
        <w:spacing w:before="120" w:after="40"/>
        <w:pBdr>
          <w:bottom w:val="single" w:sz="8" w:space="1" w:color="C09628"/>
        </w:pBdr>
      </w:pPr>
    </w:p>
    <w:p>
      <w:pPr>
        <w:keepNext/>
        <w:spacing w:before="0" w:after="60"/>
        <w:ind w:left="0"/>
      </w:pPr>
      <w:r>
        <w:rPr>
          <w:rFonts w:ascii="Calibri" w:hAnsi="Calibri"/>
          <w:b/>
          <w:i w:val="0"/>
          <w:color w:val="C09628"/>
          <w:sz w:val="19"/>
        </w:rPr>
        <w:t xml:space="preserve">TECHNOLOGY</w:t>
      </w:r>
    </w:p>
    <w:p>
      <w:pPr>
        <w:spacing w:before="20" w:after="40"/>
      </w:pPr>
      <w:r>
        <w:rPr>
          <w:rFonts w:ascii="Calibri" w:hAnsi="Calibri"/>
          <w:b w:val="0"/>
          <w:i w:val="0"/>
          <w:color w:val="3A3A3A"/>
          <w:sz w:val="18"/>
        </w:rPr>
        <w:t xml:space="preserve">Salesforce  •  Zoho CRM  •  Looker  •  SQL  •  ERP and workflow systems  •  Microsoft Excel and PowerPoint  •  KPI dashboards and financial reporting</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