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FINANCIAL &amp; ADMINISTRATIVE LEADERSHIP  ·  GRANTS ADMINISTRATION  ·  SYSTEMS  ·  REENTRY &amp; JUSTICE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and administration executive with deep roots in criminal-justice and reentry work. At The Osborne Association, held P&amp;L accountability for an $8M portfolio and a 140-person division serving justice-impacted New Yorkers, reversing a $1M operating deficit into a 13% surplus. Leads financial planning, budgeting, treasury, and cash-flow forecasting; manages restricted funding and grant compliance under GAAP and Uniform Guidance; and builds modern financial and organizational systems that give staff and Boards real-time visibility. Integrates finance, grants, talent, and operations, with hands-on experience in HR, payroll, and ERP/CRM implementation, and partners with Presidents and Boards on long-range planning and growth.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Integrated Finance, Grants &amp; Operations Strategy  •  Grants Administration &amp; Compliance  •  Budgeting, Forecasting &amp; Treasury  •  Real-Time Financial Reporting Systems  •  Talent &amp; Culture / HR Infrastructure  •  Board &amp; President Partnership  •  Audit Readiness &amp; Internal Controls  •  Scaling Organizations Through Growth  •  Restricted Funding Management  •  Criminal Justice &amp; Reentry Sector  •  ERP / CRM Implementation  •  Team Leadership &amp; Development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Coached and developed managers and staff, building training and talent-development practices across the division.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